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78C" w:rsidRDefault="00F4578C" w:rsidP="003B78B7">
      <w:pPr>
        <w:rPr>
          <w:rFonts w:ascii="Times New Roman" w:hAnsi="Times New Roman"/>
          <w:sz w:val="32"/>
          <w:szCs w:val="32"/>
          <w:lang w:val="en-US"/>
        </w:rPr>
      </w:pPr>
    </w:p>
    <w:p w:rsidR="00F4578C" w:rsidRDefault="00F4578C" w:rsidP="003B78B7">
      <w:pPr>
        <w:rPr>
          <w:rFonts w:ascii="Times New Roman" w:hAnsi="Times New Roman"/>
          <w:sz w:val="32"/>
          <w:szCs w:val="32"/>
        </w:rPr>
      </w:pPr>
    </w:p>
    <w:p w:rsidR="00F4578C" w:rsidRDefault="00F4578C" w:rsidP="003B78B7">
      <w:pPr>
        <w:rPr>
          <w:rFonts w:ascii="Times New Roman" w:hAnsi="Times New Roman"/>
          <w:sz w:val="32"/>
          <w:szCs w:val="32"/>
        </w:rPr>
      </w:pPr>
      <w:r w:rsidRPr="00F4578C">
        <w:rPr>
          <w:rFonts w:ascii="Times New Roman" w:hAnsi="Times New Roman"/>
          <w:sz w:val="32"/>
          <w:szCs w:val="32"/>
        </w:rPr>
        <w:t>Международная научно-практическая конференция &lt;Открытые горные работы в XXI веке”  1 - 3 октября 2015 года, г. Красноярск</w:t>
      </w:r>
    </w:p>
    <w:p w:rsidR="00F4578C" w:rsidRDefault="00F4578C" w:rsidP="003B78B7">
      <w:pPr>
        <w:rPr>
          <w:rFonts w:ascii="Times New Roman" w:hAnsi="Times New Roman"/>
          <w:sz w:val="32"/>
          <w:szCs w:val="32"/>
        </w:rPr>
      </w:pPr>
    </w:p>
    <w:p w:rsidR="00F4578C" w:rsidRPr="00F4578C" w:rsidRDefault="00F4578C" w:rsidP="003B78B7">
      <w:pPr>
        <w:rPr>
          <w:rFonts w:ascii="Times New Roman" w:hAnsi="Times New Roman"/>
          <w:sz w:val="32"/>
          <w:szCs w:val="32"/>
        </w:rPr>
      </w:pPr>
    </w:p>
    <w:p w:rsidR="00F4578C" w:rsidRPr="00F4578C" w:rsidRDefault="00F4578C" w:rsidP="003B78B7">
      <w:pPr>
        <w:rPr>
          <w:rFonts w:ascii="Times New Roman" w:hAnsi="Times New Roman"/>
          <w:sz w:val="32"/>
          <w:szCs w:val="32"/>
        </w:rPr>
      </w:pPr>
    </w:p>
    <w:p w:rsidR="002232B2" w:rsidRDefault="00F67332" w:rsidP="003B78B7">
      <w:pPr>
        <w:rPr>
          <w:rFonts w:ascii="Times New Roman" w:hAnsi="Times New Roman"/>
          <w:sz w:val="32"/>
          <w:szCs w:val="32"/>
        </w:rPr>
      </w:pPr>
      <w:r w:rsidRPr="00F4578C">
        <w:rPr>
          <w:rFonts w:ascii="Times New Roman" w:hAnsi="Times New Roman"/>
          <w:sz w:val="32"/>
          <w:szCs w:val="32"/>
        </w:rPr>
        <w:t>Б</w:t>
      </w:r>
      <w:r w:rsidR="00F4578C">
        <w:rPr>
          <w:rFonts w:ascii="Times New Roman" w:hAnsi="Times New Roman"/>
          <w:sz w:val="32"/>
          <w:szCs w:val="32"/>
        </w:rPr>
        <w:t xml:space="preserve">орис </w:t>
      </w:r>
      <w:r w:rsidRPr="00F4578C">
        <w:rPr>
          <w:rFonts w:ascii="Times New Roman" w:hAnsi="Times New Roman"/>
          <w:sz w:val="32"/>
          <w:szCs w:val="32"/>
        </w:rPr>
        <w:t>В</w:t>
      </w:r>
      <w:r w:rsidR="00F4578C">
        <w:rPr>
          <w:rFonts w:ascii="Times New Roman" w:hAnsi="Times New Roman"/>
          <w:sz w:val="32"/>
          <w:szCs w:val="32"/>
        </w:rPr>
        <w:t xml:space="preserve">ячеславович </w:t>
      </w:r>
      <w:proofErr w:type="spellStart"/>
      <w:r w:rsidRPr="00F4578C">
        <w:rPr>
          <w:rFonts w:ascii="Times New Roman" w:hAnsi="Times New Roman"/>
          <w:sz w:val="32"/>
          <w:szCs w:val="32"/>
        </w:rPr>
        <w:t>Слесарев</w:t>
      </w:r>
      <w:proofErr w:type="spellEnd"/>
      <w:r w:rsidR="00F4578C">
        <w:rPr>
          <w:rFonts w:ascii="Times New Roman" w:hAnsi="Times New Roman"/>
          <w:sz w:val="32"/>
          <w:szCs w:val="32"/>
        </w:rPr>
        <w:t>, к.т.н.,</w:t>
      </w:r>
      <w:r w:rsidR="00391850" w:rsidRPr="00F4578C">
        <w:rPr>
          <w:rFonts w:ascii="Times New Roman" w:hAnsi="Times New Roman"/>
          <w:sz w:val="32"/>
          <w:szCs w:val="32"/>
        </w:rPr>
        <w:t xml:space="preserve"> </w:t>
      </w:r>
      <w:r w:rsidR="00F4578C">
        <w:rPr>
          <w:rFonts w:ascii="Times New Roman" w:hAnsi="Times New Roman"/>
          <w:sz w:val="32"/>
          <w:szCs w:val="32"/>
        </w:rPr>
        <w:t xml:space="preserve">АО </w:t>
      </w:r>
      <w:r w:rsidR="00DA55FC">
        <w:rPr>
          <w:rFonts w:ascii="Times New Roman" w:hAnsi="Times New Roman"/>
          <w:sz w:val="32"/>
          <w:szCs w:val="32"/>
        </w:rPr>
        <w:t>«</w:t>
      </w:r>
      <w:proofErr w:type="spellStart"/>
      <w:r w:rsidR="00F4578C">
        <w:rPr>
          <w:rFonts w:ascii="Times New Roman" w:hAnsi="Times New Roman"/>
          <w:sz w:val="32"/>
          <w:szCs w:val="32"/>
        </w:rPr>
        <w:t>Майнинг</w:t>
      </w:r>
      <w:proofErr w:type="spellEnd"/>
      <w:r w:rsidR="00F4578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F4578C">
        <w:rPr>
          <w:rFonts w:ascii="Times New Roman" w:hAnsi="Times New Roman"/>
          <w:sz w:val="32"/>
          <w:szCs w:val="32"/>
        </w:rPr>
        <w:t>Солюшнс</w:t>
      </w:r>
      <w:proofErr w:type="spellEnd"/>
      <w:r w:rsidR="00F4578C">
        <w:rPr>
          <w:rFonts w:ascii="Times New Roman" w:hAnsi="Times New Roman"/>
          <w:sz w:val="32"/>
          <w:szCs w:val="32"/>
        </w:rPr>
        <w:t>»</w:t>
      </w:r>
    </w:p>
    <w:p w:rsidR="00F4578C" w:rsidRPr="000F18EC" w:rsidRDefault="002232B2" w:rsidP="003B78B7">
      <w:pPr>
        <w:rPr>
          <w:rFonts w:ascii="Times New Roman" w:hAnsi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/>
          <w:sz w:val="32"/>
          <w:szCs w:val="32"/>
        </w:rPr>
        <w:t>И</w:t>
      </w:r>
      <w:r w:rsidRPr="002232B2">
        <w:rPr>
          <w:rFonts w:ascii="Times New Roman" w:hAnsi="Times New Roman"/>
          <w:sz w:val="32"/>
          <w:szCs w:val="32"/>
        </w:rPr>
        <w:t>нженер</w:t>
      </w:r>
      <w:r w:rsidRPr="000F18EC">
        <w:rPr>
          <w:rFonts w:ascii="Times New Roman" w:hAnsi="Times New Roman"/>
          <w:sz w:val="32"/>
          <w:szCs w:val="32"/>
          <w:lang w:val="en-US"/>
        </w:rPr>
        <w:t xml:space="preserve">  </w:t>
      </w:r>
      <w:r w:rsidRPr="002232B2">
        <w:rPr>
          <w:rFonts w:ascii="Times New Roman" w:hAnsi="Times New Roman"/>
          <w:sz w:val="32"/>
          <w:szCs w:val="32"/>
        </w:rPr>
        <w:t>Питер</w:t>
      </w:r>
      <w:proofErr w:type="gramEnd"/>
      <w:r w:rsidRPr="000F18EC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2232B2">
        <w:rPr>
          <w:rFonts w:ascii="Times New Roman" w:hAnsi="Times New Roman"/>
          <w:sz w:val="32"/>
          <w:szCs w:val="32"/>
        </w:rPr>
        <w:t>Булес</w:t>
      </w:r>
      <w:proofErr w:type="spellEnd"/>
      <w:r w:rsidRPr="000F18EC">
        <w:rPr>
          <w:rFonts w:ascii="Times New Roman" w:hAnsi="Times New Roman"/>
          <w:sz w:val="32"/>
          <w:szCs w:val="32"/>
          <w:lang w:val="en-US"/>
        </w:rPr>
        <w:t xml:space="preserve"> (</w:t>
      </w:r>
      <w:r w:rsidRPr="002232B2">
        <w:rPr>
          <w:rFonts w:ascii="Times New Roman" w:hAnsi="Times New Roman"/>
          <w:sz w:val="32"/>
          <w:szCs w:val="32"/>
          <w:lang w:val="en-US"/>
        </w:rPr>
        <w:t>Komatsu</w:t>
      </w:r>
      <w:r w:rsidRPr="000F18EC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2232B2">
        <w:rPr>
          <w:rFonts w:ascii="Times New Roman" w:hAnsi="Times New Roman"/>
          <w:sz w:val="32"/>
          <w:szCs w:val="32"/>
          <w:lang w:val="en-US"/>
        </w:rPr>
        <w:t>Mining</w:t>
      </w:r>
      <w:r w:rsidRPr="000F18EC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2232B2">
        <w:rPr>
          <w:rFonts w:ascii="Times New Roman" w:hAnsi="Times New Roman"/>
          <w:sz w:val="32"/>
          <w:szCs w:val="32"/>
          <w:lang w:val="en-US"/>
        </w:rPr>
        <w:t>Germany</w:t>
      </w:r>
      <w:r w:rsidRPr="000F18EC">
        <w:rPr>
          <w:rFonts w:ascii="Times New Roman" w:hAnsi="Times New Roman"/>
          <w:sz w:val="32"/>
          <w:szCs w:val="32"/>
          <w:lang w:val="en-US"/>
        </w:rPr>
        <w:t>).</w:t>
      </w:r>
      <w:r w:rsidR="00F67332" w:rsidRPr="000F18EC">
        <w:rPr>
          <w:rFonts w:ascii="Times New Roman" w:hAnsi="Times New Roman"/>
          <w:sz w:val="32"/>
          <w:szCs w:val="32"/>
          <w:lang w:val="en-US"/>
        </w:rPr>
        <w:t xml:space="preserve">  </w:t>
      </w:r>
    </w:p>
    <w:p w:rsidR="00635006" w:rsidRPr="000F18EC" w:rsidRDefault="00635006" w:rsidP="003B78B7">
      <w:pPr>
        <w:rPr>
          <w:rFonts w:ascii="Times New Roman" w:hAnsi="Times New Roman"/>
          <w:sz w:val="28"/>
          <w:szCs w:val="28"/>
          <w:lang w:val="en-US"/>
        </w:rPr>
      </w:pPr>
    </w:p>
    <w:p w:rsidR="00F4578C" w:rsidRPr="000F18EC" w:rsidRDefault="00F4578C" w:rsidP="003B78B7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907459" w:rsidRPr="000F18EC" w:rsidRDefault="00907459" w:rsidP="003B78B7">
      <w:pPr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F4578C" w:rsidRPr="00F4578C" w:rsidRDefault="00F4578C" w:rsidP="003B78B7">
      <w:pPr>
        <w:rPr>
          <w:rFonts w:ascii="Times New Roman" w:hAnsi="Times New Roman"/>
          <w:color w:val="000000" w:themeColor="text1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«</w:t>
      </w:r>
      <w:proofErr w:type="gramStart"/>
      <w:r w:rsidRPr="00F4578C">
        <w:rPr>
          <w:rFonts w:ascii="Times New Roman" w:hAnsi="Times New Roman"/>
          <w:sz w:val="56"/>
          <w:szCs w:val="56"/>
        </w:rPr>
        <w:t>Исследование  условий</w:t>
      </w:r>
      <w:proofErr w:type="gramEnd"/>
      <w:r w:rsidRPr="00F4578C">
        <w:rPr>
          <w:rFonts w:ascii="Times New Roman" w:hAnsi="Times New Roman"/>
          <w:sz w:val="56"/>
          <w:szCs w:val="56"/>
        </w:rPr>
        <w:t xml:space="preserve"> и параметров экскавации мощных карьерных гидравлических экскаваторов</w:t>
      </w:r>
      <w:r>
        <w:rPr>
          <w:rFonts w:ascii="Times New Roman" w:hAnsi="Times New Roman"/>
          <w:sz w:val="56"/>
          <w:szCs w:val="56"/>
        </w:rPr>
        <w:t>»</w:t>
      </w:r>
      <w:r w:rsidRPr="00F4578C">
        <w:rPr>
          <w:rFonts w:ascii="Times New Roman" w:hAnsi="Times New Roman"/>
          <w:sz w:val="56"/>
          <w:szCs w:val="56"/>
        </w:rPr>
        <w:t>.</w:t>
      </w:r>
    </w:p>
    <w:p w:rsidR="00F4578C" w:rsidRPr="00F4578C" w:rsidRDefault="00F4578C" w:rsidP="003B78B7">
      <w:pPr>
        <w:spacing w:after="100" w:afterAutospacing="1"/>
        <w:rPr>
          <w:rFonts w:ascii="Times New Roman" w:hAnsi="Times New Roman"/>
          <w:color w:val="000000" w:themeColor="text1"/>
          <w:sz w:val="28"/>
          <w:szCs w:val="28"/>
        </w:rPr>
      </w:pPr>
    </w:p>
    <w:p w:rsidR="00F4578C" w:rsidRPr="00F4578C" w:rsidRDefault="00F4578C" w:rsidP="003B78B7">
      <w:pPr>
        <w:spacing w:after="100" w:afterAutospacing="1"/>
        <w:rPr>
          <w:rFonts w:ascii="Times New Roman" w:hAnsi="Times New Roman"/>
          <w:color w:val="000000" w:themeColor="text1"/>
          <w:sz w:val="28"/>
          <w:szCs w:val="28"/>
        </w:rPr>
      </w:pPr>
    </w:p>
    <w:p w:rsidR="00F4578C" w:rsidRPr="00F4578C" w:rsidRDefault="00F4578C" w:rsidP="003B78B7">
      <w:pPr>
        <w:spacing w:after="100" w:afterAutospacing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9790" cy="4464319"/>
            <wp:effectExtent l="0" t="0" r="3810" b="0"/>
            <wp:docPr id="1" name="Рисунок 1" descr="C:\Users\slesarev\Documents\Mining Solutions\KMG\фото\IMGP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esarev\Documents\Mining Solutions\KMG\фото\IMGP0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8C" w:rsidRPr="00F4578C" w:rsidRDefault="00F4578C" w:rsidP="003B78B7">
      <w:pPr>
        <w:spacing w:after="100" w:afterAutospacing="1"/>
        <w:rPr>
          <w:rFonts w:ascii="Times New Roman" w:hAnsi="Times New Roman"/>
          <w:color w:val="000000" w:themeColor="text1"/>
          <w:sz w:val="28"/>
          <w:szCs w:val="28"/>
        </w:rPr>
      </w:pPr>
    </w:p>
    <w:p w:rsidR="00F4578C" w:rsidRPr="00F4578C" w:rsidRDefault="00F4578C" w:rsidP="003B78B7">
      <w:pPr>
        <w:spacing w:after="100" w:afterAutospacing="1"/>
        <w:rPr>
          <w:rFonts w:ascii="Times New Roman" w:hAnsi="Times New Roman"/>
          <w:color w:val="000000" w:themeColor="text1"/>
          <w:sz w:val="28"/>
          <w:szCs w:val="28"/>
        </w:rPr>
      </w:pPr>
    </w:p>
    <w:p w:rsidR="00907459" w:rsidRPr="00635006" w:rsidRDefault="00635006" w:rsidP="00F4578C">
      <w:pPr>
        <w:spacing w:after="100" w:afterAutospacing="1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907459" w:rsidRPr="00635006">
        <w:rPr>
          <w:rFonts w:ascii="Times New Roman" w:hAnsi="Times New Roman"/>
          <w:color w:val="000000" w:themeColor="text1"/>
          <w:sz w:val="28"/>
          <w:szCs w:val="28"/>
        </w:rPr>
        <w:t xml:space="preserve">  Карьерные гидравлические экскаваторы выполняют функции головного элемента в  технологическом  комплексе по добыче твердых полезных ископаемых.  При этом темпы и стабильность разработки месторождения  определяются производительностью и стабильностью основных эксплуатационных  показателей на протяжении всего срока службы  экскаваторов.</w:t>
      </w:r>
    </w:p>
    <w:p w:rsidR="001B3FDE" w:rsidRPr="00655BB2" w:rsidRDefault="00635006" w:rsidP="00F4578C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907459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Концентрация горного производства в экстремальных условиях разработки твердых полезных ископаемых при низких температурах окружающей среды,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являющегося характерным для открытых разработок в России и СНГ, </w:t>
      </w:r>
      <w:r w:rsidR="00907459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предъявляет повышенные требования  к  техническим и эксплуатационным параметрам карьерных гидравлических экскаваторов.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До недавнего времени</w:t>
      </w:r>
      <w:r w:rsidR="00125E50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типоразмерный</w:t>
      </w:r>
      <w:proofErr w:type="spellEnd"/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ряд карьерных </w:t>
      </w:r>
      <w:bookmarkStart w:id="0" w:name="_GoBack"/>
      <w:bookmarkEnd w:id="0"/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гидравлических экскаваторов,  выпускаемых заводом 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Komatsu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Mining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Germany</w:t>
      </w:r>
      <w:r w:rsidR="00125E50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были 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включ</w:t>
      </w:r>
      <w:r w:rsidR="00125E50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ены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Р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C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-3000</w:t>
      </w:r>
      <w:r w:rsidR="008459FA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 ковшом вместимостью 16 м</w:t>
      </w:r>
      <w:r w:rsidR="008459FA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,  Р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C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-4000</w:t>
      </w:r>
      <w:r w:rsidR="008459FA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 ковшом 22 м</w:t>
      </w:r>
      <w:r w:rsidR="008459FA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, Р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C</w:t>
      </w:r>
      <w:r w:rsidR="001B3FDE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-5500</w:t>
      </w:r>
      <w:r w:rsidR="008459FA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 ковшом 26 м</w:t>
      </w:r>
      <w:r w:rsidR="008459FA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125E50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и РС-8000</w:t>
      </w:r>
      <w:r w:rsidR="008459FA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 ковшом 42 м</w:t>
      </w:r>
      <w:r w:rsidR="008459FA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125E50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r w:rsidR="008459FA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 2015 году на рынок поступил новый экскаватор РС-7000</w:t>
      </w:r>
      <w:r w:rsidR="00DA125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(Рмс.1)</w:t>
      </w:r>
      <w:r w:rsidR="008459FA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 ковшом вместимостью </w:t>
      </w:r>
      <w:r w:rsidR="000A33AA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9C3C9A">
        <w:rPr>
          <w:rFonts w:ascii="Times New Roman" w:eastAsia="Times New Roman" w:hAnsi="Times New Roman"/>
          <w:color w:val="000000" w:themeColor="text1"/>
          <w:sz w:val="28"/>
          <w:szCs w:val="28"/>
        </w:rPr>
        <w:t>36</w:t>
      </w:r>
      <w:r w:rsidR="000A33AA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м</w:t>
      </w:r>
      <w:r w:rsidR="000A33AA" w:rsidRPr="009C3C9A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DA1257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 xml:space="preserve"> </w:t>
      </w:r>
      <w:r w:rsidR="00DA125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прямая лопата и 34 </w:t>
      </w:r>
      <w:r w:rsidR="00655BB2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м</w:t>
      </w:r>
      <w:r w:rsidR="00655BB2" w:rsidRPr="009C3C9A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655BB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обратная лопата , усилием напора 2145 </w:t>
      </w:r>
      <w:r w:rsidR="00655BB2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KN</w:t>
      </w:r>
      <w:r w:rsidR="00655BB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усилием отрыва  1908 </w:t>
      </w:r>
      <w:r w:rsidR="00655BB2" w:rsidRPr="00655BB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655BB2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KN</w:t>
      </w:r>
      <w:r w:rsidR="00655BB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для прямой лопаты и усилием внедрения 1520 </w:t>
      </w:r>
      <w:r w:rsidR="00655BB2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KN</w:t>
      </w:r>
      <w:r w:rsidR="00655BB2">
        <w:rPr>
          <w:rFonts w:ascii="Times New Roman" w:eastAsia="Times New Roman" w:hAnsi="Times New Roman"/>
          <w:color w:val="000000" w:themeColor="text1"/>
          <w:sz w:val="28"/>
          <w:szCs w:val="28"/>
        </w:rPr>
        <w:t>, у4силием отрыва 1650</w:t>
      </w:r>
      <w:r w:rsidR="00655BB2" w:rsidRPr="00655BB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</w:t>
      </w:r>
      <w:r w:rsidR="00655BB2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KN</w:t>
      </w:r>
      <w:r w:rsidR="00655BB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для обратной лопаты, мощности дизеля 2х1675 </w:t>
      </w:r>
      <w:proofErr w:type="spellStart"/>
      <w:r w:rsidR="002126F6">
        <w:rPr>
          <w:rFonts w:ascii="Times New Roman" w:eastAsia="Times New Roman" w:hAnsi="Times New Roman"/>
          <w:color w:val="000000" w:themeColor="text1"/>
          <w:sz w:val="28"/>
          <w:szCs w:val="28"/>
        </w:rPr>
        <w:t>л.с</w:t>
      </w:r>
      <w:proofErr w:type="spellEnd"/>
      <w:r w:rsidR="002126F6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r w:rsidR="00655BB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или мощности электропривода 2х1450 кВт</w:t>
      </w:r>
      <w:r w:rsidR="002126F6">
        <w:rPr>
          <w:rFonts w:ascii="Times New Roman" w:eastAsia="Times New Roman" w:hAnsi="Times New Roman"/>
          <w:color w:val="000000" w:themeColor="text1"/>
          <w:sz w:val="28"/>
          <w:szCs w:val="28"/>
        </w:rPr>
        <w:t>, при рабочей массе 677 т и 681 т, соответственно</w:t>
      </w:r>
      <w:r w:rsidR="00655BB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. </w:t>
      </w:r>
    </w:p>
    <w:p w:rsidR="009C3C9A" w:rsidRDefault="009C3C9A" w:rsidP="003B78B7">
      <w:pPr>
        <w:shd w:val="clear" w:color="auto" w:fill="FFFFFF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9C3C9A" w:rsidRDefault="009C3C9A" w:rsidP="003B78B7">
      <w:pPr>
        <w:shd w:val="clear" w:color="auto" w:fill="FFFFFF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BF9B5C1" wp14:editId="35BEA440">
            <wp:extent cx="3841750" cy="2506206"/>
            <wp:effectExtent l="19050" t="0" r="635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56" cy="25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9A" w:rsidRDefault="009C3C9A" w:rsidP="003B78B7">
      <w:pPr>
        <w:shd w:val="clear" w:color="auto" w:fill="FFFFFF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9C3C9A" w:rsidRPr="00391850" w:rsidRDefault="009C3C9A" w:rsidP="003B78B7">
      <w:pPr>
        <w:shd w:val="clear" w:color="auto" w:fill="FFFFFF"/>
        <w:jc w:val="center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C3C9A">
        <w:rPr>
          <w:rFonts w:ascii="Times New Roman" w:eastAsia="Times New Roman" w:hAnsi="Times New Roman"/>
          <w:color w:val="000000" w:themeColor="text1"/>
          <w:sz w:val="24"/>
          <w:szCs w:val="24"/>
        </w:rPr>
        <w:t>Рис.1.</w:t>
      </w:r>
      <w:r w:rsidR="002126F6">
        <w:rPr>
          <w:rFonts w:ascii="Times New Roman" w:eastAsia="Times New Roman" w:hAnsi="Times New Roman"/>
          <w:color w:val="000000" w:themeColor="text1"/>
          <w:sz w:val="24"/>
          <w:szCs w:val="24"/>
        </w:rPr>
        <w:t>Карьерный г</w:t>
      </w:r>
      <w:r w:rsidRPr="009C3C9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идравлический экскаватор </w:t>
      </w:r>
      <w:r w:rsidRPr="009C3C9A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PC</w:t>
      </w:r>
      <w:r w:rsidRPr="00391850">
        <w:rPr>
          <w:rFonts w:ascii="Times New Roman" w:eastAsia="Times New Roman" w:hAnsi="Times New Roman"/>
          <w:color w:val="000000" w:themeColor="text1"/>
          <w:sz w:val="24"/>
          <w:szCs w:val="24"/>
        </w:rPr>
        <w:t>-7000</w:t>
      </w:r>
    </w:p>
    <w:p w:rsidR="009C3C9A" w:rsidRPr="00391850" w:rsidRDefault="009C3C9A" w:rsidP="003B78B7">
      <w:pPr>
        <w:shd w:val="clear" w:color="auto" w:fill="FFFFFF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0A33AA" w:rsidRPr="00635006" w:rsidRDefault="00635006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0A33AA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Радиус и высота копания рассматриваемых моделей гидравлических экскаваторов  обеспечивают безопасную разработку уступов высотой до 15 – 20 м с погрузкой в автосамосвалы грузоподъемностью от 90 до 280 т.</w:t>
      </w:r>
    </w:p>
    <w:p w:rsidR="000A33AA" w:rsidRPr="00635006" w:rsidRDefault="00635006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0A33AA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Опыт эксплуатации парка из 70 машин на открытых разработках России и СНГ достигает 15 лет по отдельным машинам и в среднем составляет 7-9 лет с наработкой до 45  тыс. ч.  </w:t>
      </w:r>
    </w:p>
    <w:p w:rsidR="00907459" w:rsidRPr="00635006" w:rsidRDefault="00635006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0A33AA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</w:t>
      </w:r>
      <w:r w:rsidR="00907459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Надежность функционирования гидравлических экскаваторов (с коэффициентом технической готовности  до 97 %) зависит от надежности   и качества механических конструкций экскаватора, надежности гидравлических систем и организации технического обслуживания и плановых ремонтов машин.</w:t>
      </w:r>
    </w:p>
    <w:p w:rsidR="00235910" w:rsidRPr="00635006" w:rsidRDefault="00235910" w:rsidP="00F4578C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Показательным является опыт эксплуатации  гидравлических прямых лопат РС 8000 с ковшами до 42 м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 xml:space="preserve">3 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на </w:t>
      </w:r>
      <w:r w:rsidRPr="0063500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 кимберлитовом месторождении </w:t>
      </w:r>
      <w:r w:rsidRPr="00635006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/>
        </w:rPr>
        <w:t>EKATI</w:t>
      </w:r>
      <w:r w:rsidRPr="0063500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в заполярной Канаде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 течение 2000-2003 гг</w:t>
      </w:r>
      <w:r w:rsid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</w:t>
      </w:r>
      <w:r w:rsid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Б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ыло зафиксировано  поддержание высокого среднего уровня коэффициента технической готовности на уровне 89%  (82-97%)  в течение календарного года, независимо от изменения температур окружающего воздуха. Аналогичные уровни готовности 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 xml:space="preserve">гидравлических экскаваторов были получены при их эксплуатации и  в Северной Швеции на меднорудном карьере 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Boliden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235910" w:rsidRPr="00635006" w:rsidRDefault="00235910" w:rsidP="00F4578C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В экстремальных условиях высокогорных предприятий Чили (</w:t>
      </w:r>
      <w:r w:rsidRPr="0063500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железорудных карьерах   </w:t>
      </w:r>
      <w:proofErr w:type="spellStart"/>
      <w:r w:rsidRPr="00635006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/>
        </w:rPr>
        <w:t>Collahuas</w:t>
      </w:r>
      <w:proofErr w:type="spellEnd"/>
      <w:r w:rsidRPr="0063500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 и  </w:t>
      </w:r>
      <w:proofErr w:type="spellStart"/>
      <w:r w:rsidRPr="00635006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/>
        </w:rPr>
        <w:t>Quebrada</w:t>
      </w:r>
      <w:proofErr w:type="spellEnd"/>
      <w:r w:rsidRPr="0063500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</w:t>
      </w:r>
      <w:r w:rsidRPr="00635006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/>
        </w:rPr>
        <w:t>Blanca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), а также Колумбии (рудник </w:t>
      </w:r>
      <w:proofErr w:type="spellStart"/>
      <w:r w:rsidRPr="00635006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Drammond</w:t>
      </w:r>
      <w:proofErr w:type="spellEnd"/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) на высотах более 3000 м сохраняются высокие значения показателей надежности и производительностей механических и гидравлических прямых лопат в условиях резких перепадов температуры.  При этом средняя удельная часовая производительность</w:t>
      </w:r>
      <w:r w:rsidR="001D632D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гидравлических экскаваторов 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на 1 м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 xml:space="preserve">3 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вместимости ковша  52,1</w:t>
      </w:r>
      <w:r w:rsidR="00FE64F7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м</w:t>
      </w:r>
      <w:r w:rsidR="00FE64F7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FE64F7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/м</w:t>
      </w:r>
      <w:r w:rsidR="00FE64F7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и</w:t>
      </w:r>
      <w:r w:rsidR="00FE64F7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для механических лопат 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47,6  м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/м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FE64F7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 xml:space="preserve"> </w:t>
      </w:r>
      <w:r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</w:t>
      </w:r>
    </w:p>
    <w:p w:rsidR="0086683F" w:rsidRPr="00635006" w:rsidRDefault="00635006" w:rsidP="00F4578C">
      <w:pPr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На горных предприятиях СНГ  за последние 10 лет создана система подготовки высококвалифицированных специалистов, которые обеспечили эффективную эксплуатацию гидравлических экскаваторов. Так на одном из угольных разрезов Северного Кузбасса работают  традиционные механические лопаты и гидравлические  экскаваторы. В течение одного года сравнивались 3 гидравлических экскаватора с </w:t>
      </w:r>
      <w:proofErr w:type="gramStart"/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ковшами  вместимостью</w:t>
      </w:r>
      <w:proofErr w:type="gramEnd"/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21 м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(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P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С-4000 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KMG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), 27 и 27 м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 xml:space="preserve">3 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(6060 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Cat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) и  4 экскаватора типа Ижора - КАРТЭКС с ковшами 12, 12, 14 и 14 м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.  Рабочая масса гидравлических экскаваторов составляет  1500 т, а механических около 3200 т, т. е.  рабочая масса   гидравлических в 2,13 раза меньше. Суммарная  вместимость ковшей  гидравлических   экскаваторов составляет  75 м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, а у механических лопат  52 м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, т. е. в 1, 44 раза меньше. За год эксплуатации соответственно было отгружено 17,5 млн. м</w:t>
      </w:r>
      <w:proofErr w:type="gramStart"/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 xml:space="preserve">3 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и</w:t>
      </w:r>
      <w:proofErr w:type="gramEnd"/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13,5 млн. м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, т.е. производительность  гидравлических была достигнута  на 29 % выше.  </w:t>
      </w:r>
      <w:r w:rsidR="003B462C" w:rsidRPr="003B462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3B462C">
        <w:rPr>
          <w:rFonts w:ascii="Times New Roman" w:eastAsia="Times New Roman" w:hAnsi="Times New Roman"/>
          <w:color w:val="000000" w:themeColor="text1"/>
          <w:sz w:val="28"/>
          <w:szCs w:val="28"/>
        </w:rPr>
        <w:t>Ф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актическая себестоимость эксплуатации гидравлических  экскаваторов составила 5,87 руб./м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, а механических 6,77 руб./м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 xml:space="preserve">3 </w:t>
      </w:r>
      <w:r w:rsidR="00BB3A24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или на 15 % больше. </w:t>
      </w:r>
    </w:p>
    <w:p w:rsidR="0086683F" w:rsidRPr="00635006" w:rsidRDefault="00635006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Практика применения гидропривода в различных отраслях доказала, что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он</w:t>
      </w:r>
      <w:r w:rsidR="0086683F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обладает высоким уровнем надежности. Однако под надежностью понимают свойство объекта выполнять заданные функции, сохраняя во времени значения установленных эксплуатационных показателей в заданных пре</w:t>
      </w:r>
      <w:r w:rsidR="0086683F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делах, соответствующих назначенным режимам и условиям использования, технического обслуживания и ремонтов. В случае, если режимы использования и обслуживания техники отличаются от назначенных, то следует учиты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вать </w:t>
      </w:r>
      <w:r w:rsidR="0086683F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не только надежность, но и живучесть объекта. Живучесть характеризует способность объекта сохранять работоспособное состояние при внешних воздействиях, превышающих установленные нормы.</w:t>
      </w:r>
    </w:p>
    <w:p w:rsidR="0086683F" w:rsidRDefault="00872C6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Основными факторами, характерными для эксплуатации </w:t>
      </w:r>
      <w:r w:rsidR="00284D96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карьерных гидравлических </w:t>
      </w:r>
      <w:proofErr w:type="gramStart"/>
      <w:r w:rsidR="0086683F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>экскаваторов ,</w:t>
      </w:r>
      <w:proofErr w:type="gramEnd"/>
      <w:r w:rsidR="0086683F" w:rsidRPr="006350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являются:</w:t>
      </w:r>
    </w:p>
    <w:p w:rsidR="0086683F" w:rsidRPr="00872C6B" w:rsidRDefault="0086683F" w:rsidP="00F4578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высокий годовой фонд рабочего времени (7000 часов);</w:t>
      </w:r>
    </w:p>
    <w:p w:rsidR="0086683F" w:rsidRPr="00872C6B" w:rsidRDefault="0086683F" w:rsidP="00F4578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высокие усилия и динамика (до 70 кН на 1 м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3</w:t>
      </w:r>
      <w:r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вместимости ковша) 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 режиме копания </w:t>
      </w:r>
      <w:r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рабочего оборудования в забое;</w:t>
      </w:r>
    </w:p>
    <w:p w:rsidR="0086683F" w:rsidRPr="00872C6B" w:rsidRDefault="0086683F" w:rsidP="00F4578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высокая удельная мощность (до 3.7 кВт/т на 1 т.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рабочей</w:t>
      </w:r>
      <w:r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массы);</w:t>
      </w:r>
    </w:p>
    <w:p w:rsidR="0086683F" w:rsidRDefault="0086683F" w:rsidP="00F4578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удаленность от внешних инфраструктур по ремонту гидр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авлических </w:t>
      </w:r>
      <w:r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компонентов.</w:t>
      </w:r>
    </w:p>
    <w:p w:rsidR="0086683F" w:rsidRPr="00872C6B" w:rsidRDefault="00872C6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Высокий фонд рабочего времени, в первую очередь, предопределяет необходимость обеспечения высокого ресурса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гидравлических компонентов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Высокая динамика приводит к повышению требований к 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в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ысокой мощности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что 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должно соответствовать значительно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му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количеств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у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агрегатов большой единичной мощности, а также построение 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конструкций экскаваторов 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по модульному принципу. 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В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ысокая динамика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и высокая мощность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существенно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препятствуют реализации высоких характеристик надежности.</w:t>
      </w:r>
    </w:p>
    <w:p w:rsidR="0086683F" w:rsidRPr="00872C6B" w:rsidRDefault="00872C6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Удаленность от сервисных инфраструктур усложняет преодоление этих факторов и делает необходимым организацию сервисных услуг на месте.</w:t>
      </w:r>
    </w:p>
    <w:p w:rsidR="0086683F" w:rsidRPr="00872C6B" w:rsidRDefault="00872C6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Кроме того, имеется целый ряд дополнительных факторов, снижающих надежность гидропривода на карьерных экскаваторах в условиях горных предприятий:</w:t>
      </w:r>
    </w:p>
    <w:p w:rsidR="0086683F" w:rsidRPr="00872C6B" w:rsidRDefault="0086683F" w:rsidP="00F457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высокий уровень загрязненности воздуха в рабочей зоне (до 1.2 г/л);</w:t>
      </w:r>
    </w:p>
    <w:p w:rsidR="0086683F" w:rsidRPr="00872C6B" w:rsidRDefault="0086683F" w:rsidP="00F457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экстремально низкие или высокие температуры окружающей среды, что предопределяет значительные изменения вязкости гидрожидкости: в процессе работы в 10-15 раз, а в процессе запуска в 250 раз;</w:t>
      </w:r>
    </w:p>
    <w:p w:rsidR="0086683F" w:rsidRPr="00872C6B" w:rsidRDefault="0086683F" w:rsidP="00F457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высокие нагрузки, возникающие при экскавации очень твердых или плохо взорванных пород, что предопределяет необходимость искусственного ограничения давления в системе для увеличения срока службы гидр</w:t>
      </w:r>
      <w:r w:rsidR="008F4FDD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авлических </w:t>
      </w:r>
      <w:r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компонентов;</w:t>
      </w:r>
    </w:p>
    <w:p w:rsidR="0086683F" w:rsidRPr="00872C6B" w:rsidRDefault="0086683F" w:rsidP="00F457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недостаточно высокий уровень технического обслуживания по причине низкой квалификации обслуживающего персонала, а также в связи с недостаточным техническим оснащением измерительными приборами и специальным инструментом.</w:t>
      </w:r>
    </w:p>
    <w:p w:rsidR="0086683F" w:rsidRPr="00872C6B" w:rsidRDefault="00872C6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Проведенные исследования указывают, что основн</w:t>
      </w:r>
      <w:r w:rsidR="009E516B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ыми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причин</w:t>
      </w:r>
      <w:r w:rsidR="009E516B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ами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возникновения отказов у </w:t>
      </w:r>
      <w:r w:rsidR="009E516B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гидравлических экскаваторов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по сути явля</w:t>
      </w:r>
      <w:r w:rsidR="009E516B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ю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тся загрязнение гидрожидкости и запуск гидросистем экскаваторов при экстремально низких температурах.</w:t>
      </w:r>
    </w:p>
    <w:p w:rsidR="0086683F" w:rsidRPr="00872C6B" w:rsidRDefault="00872C6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Загрязнение гидрожидкости различными частицами, попадающими внутрь </w:t>
      </w:r>
      <w:proofErr w:type="gramStart"/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системы</w:t>
      </w:r>
      <w:proofErr w:type="gramEnd"/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является основной проблемой функционирования гидропривода, вызывающей подавляющее большинство его неисправностей. Для различных гидросистем доля отказов из-за загрязнения жидкости составляет от 50% до 85%. В частности, для карьерного оборудования можно считать, что доля </w:t>
      </w:r>
      <w:proofErr w:type="gramStart"/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отказов</w:t>
      </w:r>
      <w:proofErr w:type="gramEnd"/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вызванных загрязнениями гидрожидкости составляет около 70%.</w:t>
      </w:r>
      <w:r w:rsidR="00E12F2C" w:rsidRPr="00E12F2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E12F2C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Выполненными ранее исследованиями установлены закономерности формирования факторов загрязнения гидрожидкости - механические примеси, максимальный размер частиц, содержание воды, содержание воздуха, вязкость рабочей жидкости и температуры жидкости</w:t>
      </w:r>
      <w:r w:rsidR="00E12F2C"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  <w:r w:rsidR="00E12F2C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на эффективность гидропр</w:t>
      </w:r>
      <w:r w:rsidR="003B462C">
        <w:rPr>
          <w:rFonts w:ascii="Times New Roman" w:eastAsia="Times New Roman" w:hAnsi="Times New Roman"/>
          <w:color w:val="000000" w:themeColor="text1"/>
          <w:sz w:val="28"/>
          <w:szCs w:val="28"/>
        </w:rPr>
        <w:t>и</w:t>
      </w:r>
      <w:r w:rsidR="00E12F2C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>вода.</w:t>
      </w:r>
    </w:p>
    <w:p w:rsidR="0086683F" w:rsidRPr="00872C6B" w:rsidRDefault="00872C6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Доля отказов гидравлических систем, вызванных холодным запуском не велика, однако они приводят к столь катастрофическим последствиям, что вызывают весьма длительные простои и обусловливают высокую стоимость 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ремонта. Поэтому по з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начимости влияния на надежность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температурный фактор, безусловно, м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ожно поставить на второе место.</w:t>
      </w:r>
      <w:r w:rsidR="0086683F" w:rsidRPr="00872C6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Соблюдение заданных оптимальных температур в допустимых пределах является важным фактором, определяющим также КПД и ресурс гидропривода.</w:t>
      </w:r>
    </w:p>
    <w:p w:rsidR="00750DD6" w:rsidRDefault="00872C6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750DD6" w:rsidRPr="00BC29E1">
        <w:rPr>
          <w:rFonts w:ascii="Times New Roman" w:eastAsia="Times New Roman" w:hAnsi="Times New Roman"/>
          <w:sz w:val="28"/>
          <w:szCs w:val="28"/>
        </w:rPr>
        <w:t>Основным показателем эффективности функционирования карьерных гидравлических экскаваторов является коэффициент технического использования системы:</w:t>
      </w:r>
    </w:p>
    <w:p w:rsidR="00145144" w:rsidRPr="000F18EC" w:rsidRDefault="00824E57" w:rsidP="003B78B7">
      <w:pPr>
        <w:spacing w:after="96"/>
        <w:rPr>
          <w:rFonts w:ascii="Times New Roman" w:eastAsia="Times New Roman" w:hAnsi="Times New Roman"/>
          <w:b/>
          <w:color w:val="000000"/>
          <w:sz w:val="28"/>
          <w:szCs w:val="28"/>
          <w:lang w:val="en-US"/>
        </w:rPr>
      </w:pPr>
      <w:r w:rsidRPr="000F18EC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/>
        </w:rPr>
        <w:t xml:space="preserve">                                 </w:t>
      </w:r>
      <w:r w:rsidR="0007110E" w:rsidRPr="00AA26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К</w:t>
      </w:r>
      <w:r w:rsidR="0007110E" w:rsidRPr="00AA2685">
        <w:rPr>
          <w:rFonts w:ascii="Times New Roman" w:eastAsia="Times New Roman" w:hAnsi="Times New Roman"/>
          <w:b/>
          <w:i/>
          <w:color w:val="000000"/>
          <w:sz w:val="28"/>
          <w:szCs w:val="28"/>
          <w:vertAlign w:val="subscript"/>
        </w:rPr>
        <w:t>и</w:t>
      </w:r>
      <w:r w:rsidR="0007110E" w:rsidRPr="000F18EC">
        <w:rPr>
          <w:rFonts w:ascii="Times New Roman" w:eastAsia="Times New Roman" w:hAnsi="Times New Roman"/>
          <w:b/>
          <w:color w:val="000000"/>
          <w:sz w:val="28"/>
          <w:szCs w:val="28"/>
          <w:lang w:val="en-US"/>
        </w:rPr>
        <w:t xml:space="preserve"> </w:t>
      </w:r>
      <w:proofErr w:type="gramStart"/>
      <w:r w:rsidR="0007110E" w:rsidRPr="000F18EC">
        <w:rPr>
          <w:rFonts w:ascii="Times New Roman" w:eastAsia="Times New Roman" w:hAnsi="Times New Roman"/>
          <w:b/>
          <w:color w:val="000000"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b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color w:val="000000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color w:val="000000"/>
                <w:sz w:val="28"/>
                <w:szCs w:val="28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Times New Roman"/>
                <w:color w:val="000000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="Times New Roman" w:hAnsi="Times New Roman"/>
                    <w:b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Times New Roman"/>
                    <w:color w:val="000000"/>
                    <w:sz w:val="28"/>
                    <w:szCs w:val="28"/>
                  </w:rPr>
                  <m:t>пр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/>
                <w:color w:val="000000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="Times New Roman" w:hAnsi="Times New Roman"/>
                    <w:b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Times New Roman"/>
                    <w:color w:val="000000"/>
                    <w:sz w:val="28"/>
                    <w:szCs w:val="28"/>
                  </w:rPr>
                  <m:t>пр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/>
                <w:color w:val="000000"/>
                <w:sz w:val="28"/>
                <w:szCs w:val="28"/>
                <w:lang w:val="en-US"/>
              </w:rPr>
              <m:t>+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Times New Roman"/>
                    <w:b/>
                    <w:i/>
                    <w:color w:val="000000"/>
                    <w:sz w:val="28"/>
                    <w:szCs w:val="28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Times New Roman"/>
                    <w:color w:val="000000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</w:rPr>
                  <m:t>1</m:t>
                </m:r>
              </m:sub>
              <m:sup>
                <m:r>
                  <m:rPr>
                    <m:sty m:val="bi"/>
                  </m:rP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eastAsia="Times New Roman" w:hAnsi="Times New Roman"/>
                        <w:b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</w:rPr>
                      <m:t>p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Times New Roman"/>
                    <w:color w:val="000000"/>
                    <w:sz w:val="28"/>
                    <w:szCs w:val="28"/>
                    <w:lang w:val="en-US"/>
                  </w:rPr>
                  <m:t>∙</m:t>
                </m:r>
                <m:sSubSup>
                  <m:sSubSupPr>
                    <m:ctrlPr>
                      <w:rPr>
                        <w:rFonts w:ascii="Cambria Math" w:eastAsia="Times New Roman" w:hAnsi="Times New Roman"/>
                        <w:b/>
                        <w:i/>
                        <w:color w:val="000000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</w:rPr>
                      <m:t>p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/>
                      </w:rPr>
                      <m:t>i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/>
                      </w:rPr>
                      <m:t>*</m:t>
                    </m:r>
                  </m:sup>
                </m:sSubSup>
              </m:e>
            </m:nary>
          </m:den>
        </m:f>
      </m:oMath>
      <w:r w:rsidR="00F80DBE" w:rsidRPr="000F18EC">
        <w:rPr>
          <w:rFonts w:ascii="Times New Roman" w:eastAsia="Times New Roman" w:hAnsi="Times New Roman"/>
          <w:b/>
          <w:color w:val="000000"/>
          <w:sz w:val="28"/>
          <w:szCs w:val="28"/>
          <w:lang w:val="en-US"/>
        </w:rPr>
        <w:t xml:space="preserve"> →</w:t>
      </w:r>
      <w:proofErr w:type="gramEnd"/>
      <w:r w:rsidR="00F80DBE" w:rsidRPr="000F18EC">
        <w:rPr>
          <w:rFonts w:ascii="Times New Roman" w:eastAsia="Times New Roman" w:hAnsi="Times New Roman"/>
          <w:b/>
          <w:color w:val="000000"/>
          <w:sz w:val="28"/>
          <w:szCs w:val="28"/>
          <w:lang w:val="en-US"/>
        </w:rPr>
        <w:t xml:space="preserve"> </w:t>
      </w:r>
      <w:r w:rsidR="00F80DBE" w:rsidRPr="00AA2685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max</w:t>
      </w:r>
    </w:p>
    <w:p w:rsidR="004F33D9" w:rsidRPr="004F33D9" w:rsidRDefault="005A734F" w:rsidP="003B78B7">
      <w:pPr>
        <w:spacing w:before="100" w:beforeAutospacing="1" w:after="96"/>
        <w:rPr>
          <w:rFonts w:ascii="Times New Roman" w:eastAsia="Times New Roman" w:hAnsi="Times New Roman"/>
          <w:color w:val="000000"/>
          <w:sz w:val="28"/>
          <w:szCs w:val="28"/>
        </w:rPr>
      </w:pPr>
      <w:r w:rsidRPr="005A734F">
        <w:rPr>
          <w:rFonts w:ascii="Times New Roman" w:eastAsia="Times New Roman" w:hAnsi="Times New Roman"/>
          <w:color w:val="000000"/>
          <w:sz w:val="28"/>
          <w:szCs w:val="28"/>
        </w:rPr>
        <w:t xml:space="preserve">где </w:t>
      </w:r>
      <w:proofErr w:type="spellStart"/>
      <w:r w:rsidR="004F33D9" w:rsidRPr="004F33D9">
        <w:rPr>
          <w:rFonts w:ascii="Times New Roman" w:eastAsia="Times New Roman" w:hAnsi="Times New Roman"/>
          <w:i/>
          <w:color w:val="000000"/>
          <w:sz w:val="28"/>
          <w:szCs w:val="28"/>
        </w:rPr>
        <w:t>Т</w:t>
      </w:r>
      <w:r w:rsidR="004F33D9" w:rsidRPr="004F33D9">
        <w:rPr>
          <w:rFonts w:ascii="Times New Roman" w:eastAsia="Times New Roman" w:hAnsi="Times New Roman"/>
          <w:i/>
          <w:color w:val="000000"/>
          <w:sz w:val="28"/>
          <w:szCs w:val="28"/>
          <w:vertAlign w:val="subscript"/>
        </w:rPr>
        <w:t>пр</w:t>
      </w:r>
      <w:proofErr w:type="spellEnd"/>
      <w:r w:rsidR="004F33D9" w:rsidRPr="004F33D9">
        <w:rPr>
          <w:rFonts w:ascii="Times New Roman" w:eastAsia="Times New Roman" w:hAnsi="Times New Roman"/>
          <w:color w:val="000000"/>
          <w:sz w:val="28"/>
          <w:szCs w:val="28"/>
          <w:vertAlign w:val="subscript"/>
        </w:rPr>
        <w:t xml:space="preserve"> </w:t>
      </w:r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– оценка средней продолжительности профилактики; </w:t>
      </w:r>
      <w:proofErr w:type="spellStart"/>
      <w:r w:rsidR="004F33D9" w:rsidRPr="004F33D9">
        <w:rPr>
          <w:rFonts w:ascii="Times New Roman" w:eastAsia="Times New Roman" w:hAnsi="Times New Roman"/>
          <w:i/>
          <w:color w:val="000000"/>
          <w:sz w:val="28"/>
          <w:szCs w:val="28"/>
        </w:rPr>
        <w:t>λ</w:t>
      </w:r>
      <w:r w:rsidR="004F33D9" w:rsidRPr="004F33D9">
        <w:rPr>
          <w:rFonts w:ascii="Times New Roman" w:eastAsia="Times New Roman" w:hAnsi="Times New Roman"/>
          <w:i/>
          <w:color w:val="000000"/>
          <w:sz w:val="28"/>
          <w:szCs w:val="28"/>
          <w:vertAlign w:val="subscript"/>
        </w:rPr>
        <w:t>пр</w:t>
      </w:r>
      <w:proofErr w:type="spellEnd"/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 – интенсивность потока требований по профилактике; </w:t>
      </w:r>
      <w:proofErr w:type="spellStart"/>
      <w:r w:rsidR="004F33D9" w:rsidRPr="004F33D9">
        <w:rPr>
          <w:rFonts w:ascii="Times New Roman" w:eastAsia="Times New Roman" w:hAnsi="Times New Roman"/>
          <w:i/>
          <w:color w:val="000000"/>
          <w:sz w:val="28"/>
          <w:szCs w:val="28"/>
        </w:rPr>
        <w:t>Т</w:t>
      </w:r>
      <w:r w:rsidR="004F33D9" w:rsidRPr="004F33D9">
        <w:rPr>
          <w:rFonts w:ascii="Times New Roman" w:eastAsia="Times New Roman" w:hAnsi="Times New Roman"/>
          <w:i/>
          <w:color w:val="000000"/>
          <w:sz w:val="28"/>
          <w:szCs w:val="28"/>
          <w:vertAlign w:val="subscript"/>
        </w:rPr>
        <w:t>рi</w:t>
      </w:r>
      <w:proofErr w:type="spellEnd"/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 – оценка средней продолжительности ремонта; </w:t>
      </w:r>
      <w:proofErr w:type="spellStart"/>
      <w:r w:rsidR="004F33D9" w:rsidRPr="004F33D9">
        <w:rPr>
          <w:rFonts w:ascii="Times New Roman" w:eastAsia="Times New Roman" w:hAnsi="Times New Roman"/>
          <w:i/>
          <w:color w:val="000000"/>
          <w:sz w:val="28"/>
          <w:szCs w:val="28"/>
        </w:rPr>
        <w:t>λ</w:t>
      </w:r>
      <w:r w:rsidR="004F33D9" w:rsidRPr="004F33D9">
        <w:rPr>
          <w:rFonts w:ascii="Times New Roman" w:eastAsia="Times New Roman" w:hAnsi="Times New Roman"/>
          <w:i/>
          <w:color w:val="000000"/>
          <w:sz w:val="28"/>
          <w:szCs w:val="28"/>
          <w:vertAlign w:val="subscript"/>
        </w:rPr>
        <w:t>рi</w:t>
      </w:r>
      <w:proofErr w:type="spellEnd"/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 – интенсивность потока требований по ремонту </w:t>
      </w:r>
      <w:r w:rsidR="004F33D9" w:rsidRPr="004F33D9">
        <w:rPr>
          <w:rFonts w:ascii="Times New Roman" w:eastAsia="Times New Roman" w:hAnsi="Times New Roman"/>
          <w:i/>
          <w:color w:val="000000"/>
          <w:sz w:val="28"/>
          <w:szCs w:val="28"/>
        </w:rPr>
        <w:t>i</w:t>
      </w:r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-</w:t>
      </w:r>
      <w:proofErr w:type="spellStart"/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го</w:t>
      </w:r>
      <w:proofErr w:type="spellEnd"/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 оборудования; </w:t>
      </w:r>
      <w:r w:rsidR="004F33D9" w:rsidRPr="004F33D9">
        <w:rPr>
          <w:rFonts w:ascii="Times New Roman" w:eastAsia="Times New Roman" w:hAnsi="Times New Roman"/>
          <w:i/>
          <w:color w:val="000000"/>
          <w:sz w:val="28"/>
          <w:szCs w:val="28"/>
        </w:rPr>
        <w:t>m</w:t>
      </w:r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 – число логически последовательно соединенных элементов оборудования.</w:t>
      </w:r>
    </w:p>
    <w:p w:rsidR="004F33D9" w:rsidRPr="004F33D9" w:rsidRDefault="004F33D9" w:rsidP="00F4578C">
      <w:pPr>
        <w:spacing w:before="100" w:beforeAutospacing="1" w:after="96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4F33D9">
        <w:rPr>
          <w:rFonts w:ascii="Times New Roman" w:eastAsia="Times New Roman" w:hAnsi="Times New Roman"/>
          <w:color w:val="000000"/>
          <w:sz w:val="28"/>
          <w:szCs w:val="28"/>
        </w:rPr>
        <w:tab/>
        <w:t>Оптимизация этого показателя эффективности применения гидравлического экскаватора положена в основу системного анализа и принятия стратегий обслуживания основных систем и механизмов.</w:t>
      </w:r>
    </w:p>
    <w:p w:rsidR="004F33D9" w:rsidRPr="004F33D9" w:rsidRDefault="004F33D9" w:rsidP="00F4578C">
      <w:pPr>
        <w:spacing w:before="100" w:beforeAutospacing="1" w:after="96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4F33D9">
        <w:rPr>
          <w:rFonts w:ascii="Times New Roman" w:eastAsia="Times New Roman" w:hAnsi="Times New Roman"/>
          <w:color w:val="000000"/>
          <w:sz w:val="28"/>
          <w:szCs w:val="28"/>
        </w:rPr>
        <w:t>В качестве возможных предельных стратегий обслуживания рассматривались две:</w:t>
      </w:r>
    </w:p>
    <w:p w:rsidR="004F33D9" w:rsidRPr="004F33D9" w:rsidRDefault="004F33D9" w:rsidP="00F4578C">
      <w:pPr>
        <w:spacing w:before="100" w:beforeAutospacing="1" w:after="96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91850"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Pr="004F33D9">
        <w:rPr>
          <w:rFonts w:ascii="Times New Roman" w:eastAsia="Times New Roman" w:hAnsi="Times New Roman"/>
          <w:color w:val="000000"/>
          <w:sz w:val="28"/>
          <w:szCs w:val="28"/>
        </w:rPr>
        <w:t>1. Первая стратегия заключается в том, что профилактика проводится через случайные моменты времени:</w:t>
      </w:r>
    </w:p>
    <w:p w:rsidR="004F33D9" w:rsidRPr="004F33D9" w:rsidRDefault="004F33D9" w:rsidP="00F4578C">
      <w:pPr>
        <w:spacing w:before="100" w:beforeAutospacing="1" w:after="96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91850"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Pr="004F33D9">
        <w:rPr>
          <w:rFonts w:ascii="Times New Roman" w:eastAsia="Times New Roman" w:hAnsi="Times New Roman"/>
          <w:color w:val="000000"/>
          <w:sz w:val="28"/>
          <w:szCs w:val="28"/>
        </w:rPr>
        <w:t>•    принудительная профилактика через строго фиксированный интервал времени;</w:t>
      </w:r>
    </w:p>
    <w:p w:rsidR="004F33D9" w:rsidRPr="004F33D9" w:rsidRDefault="004F33D9" w:rsidP="00F4578C">
      <w:pPr>
        <w:spacing w:before="100" w:beforeAutospacing="1" w:after="96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91850"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Pr="004F33D9">
        <w:rPr>
          <w:rFonts w:ascii="Times New Roman" w:eastAsia="Times New Roman" w:hAnsi="Times New Roman"/>
          <w:color w:val="000000"/>
          <w:sz w:val="28"/>
          <w:szCs w:val="28"/>
        </w:rPr>
        <w:t>•    профилактика с интервалом времени, распределенным по экспоненциальному закону</w:t>
      </w:r>
    </w:p>
    <w:p w:rsidR="004F33D9" w:rsidRPr="004F33D9" w:rsidRDefault="004F33D9" w:rsidP="00F4578C">
      <w:pPr>
        <w:spacing w:before="100" w:beforeAutospacing="1" w:after="96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91850"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В случае отказа элемента в </w:t>
      </w:r>
      <w:proofErr w:type="spellStart"/>
      <w:r w:rsidRPr="004F33D9">
        <w:rPr>
          <w:rFonts w:ascii="Times New Roman" w:eastAsia="Times New Roman" w:hAnsi="Times New Roman"/>
          <w:color w:val="000000"/>
          <w:sz w:val="28"/>
          <w:szCs w:val="28"/>
        </w:rPr>
        <w:t>межпрофилактический</w:t>
      </w:r>
      <w:proofErr w:type="spellEnd"/>
      <w:r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 период, элемент ремонтируется или заменяется, а планируемые сроки проведения профилактики остаются неизменными.</w:t>
      </w:r>
    </w:p>
    <w:p w:rsidR="004F33D9" w:rsidRPr="004F33D9" w:rsidRDefault="004F33D9" w:rsidP="00F4578C">
      <w:pPr>
        <w:spacing w:before="100" w:beforeAutospacing="1" w:after="96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91850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ab/>
      </w:r>
      <w:r w:rsidRPr="004F33D9">
        <w:rPr>
          <w:rFonts w:ascii="Times New Roman" w:eastAsia="Times New Roman" w:hAnsi="Times New Roman"/>
          <w:color w:val="000000"/>
          <w:sz w:val="28"/>
          <w:szCs w:val="28"/>
        </w:rPr>
        <w:t>2. Вторая стратегия профилактики отличается от первой тем, что при отказе одного из элементов он заменяется, а вместе с ним заменяются все элементы, имеющие меньший нормативный срок эксплуатации, и проходят профилактику все остальные элементы. После этого график проведения последующих профилактик перепланируется.</w:t>
      </w:r>
    </w:p>
    <w:p w:rsidR="004F33D9" w:rsidRPr="00391850" w:rsidRDefault="004F33D9" w:rsidP="00F4578C">
      <w:pPr>
        <w:spacing w:before="100" w:beforeAutospacing="1" w:after="96"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91850"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В результате анализа установлено, что вне зависимости от законов распределения </w:t>
      </w:r>
      <w:proofErr w:type="spellStart"/>
      <w:r w:rsidRPr="004F33D9">
        <w:rPr>
          <w:rFonts w:ascii="Times New Roman" w:eastAsia="Times New Roman" w:hAnsi="Times New Roman"/>
          <w:color w:val="000000"/>
          <w:sz w:val="28"/>
          <w:szCs w:val="28"/>
        </w:rPr>
        <w:t>межпрофилактического</w:t>
      </w:r>
      <w:proofErr w:type="spellEnd"/>
      <w:r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 периода коэффициент </w:t>
      </w:r>
      <w:r w:rsidRPr="004F33D9">
        <w:rPr>
          <w:rFonts w:asciiTheme="majorHAnsi" w:eastAsia="Times New Roman" w:hAnsiTheme="majorHAnsi" w:cstheme="minorHAnsi"/>
          <w:i/>
          <w:color w:val="000000"/>
          <w:sz w:val="28"/>
          <w:szCs w:val="28"/>
        </w:rPr>
        <w:t>К</w:t>
      </w:r>
      <w:r w:rsidRPr="004F33D9">
        <w:rPr>
          <w:rFonts w:asciiTheme="majorHAnsi" w:eastAsia="Times New Roman" w:hAnsiTheme="majorHAnsi" w:cstheme="minorHAnsi"/>
          <w:i/>
          <w:color w:val="000000"/>
          <w:sz w:val="28"/>
          <w:szCs w:val="28"/>
          <w:vertAlign w:val="subscript"/>
        </w:rPr>
        <w:t>и</w:t>
      </w:r>
      <w:r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 возрастает при увеличении </w:t>
      </w:r>
      <w:proofErr w:type="spellStart"/>
      <w:r w:rsidRPr="004F33D9">
        <w:rPr>
          <w:rFonts w:ascii="Times New Roman" w:eastAsia="Times New Roman" w:hAnsi="Times New Roman"/>
          <w:color w:val="000000"/>
          <w:sz w:val="28"/>
          <w:szCs w:val="28"/>
        </w:rPr>
        <w:t>межпрофилактического</w:t>
      </w:r>
      <w:proofErr w:type="spellEnd"/>
      <w:r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 периода, уменьшении времени проведения профилактики и суммарного времени аварийного восстановления системы.</w:t>
      </w:r>
    </w:p>
    <w:p w:rsidR="00AA2685" w:rsidRPr="00F70832" w:rsidRDefault="00AA2685" w:rsidP="00F4578C">
      <w:pPr>
        <w:spacing w:before="100" w:beforeAutospacing="1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91850">
        <w:rPr>
          <w:rFonts w:ascii="Times New Roman" w:hAnsi="Times New Roman"/>
          <w:color w:val="000000" w:themeColor="text1"/>
          <w:sz w:val="28"/>
          <w:szCs w:val="28"/>
        </w:rPr>
        <w:tab/>
      </w:r>
      <w:proofErr w:type="spellStart"/>
      <w:proofErr w:type="gramStart"/>
      <w:r w:rsidRPr="00F70832">
        <w:rPr>
          <w:rFonts w:ascii="Times New Roman" w:hAnsi="Times New Roman"/>
          <w:color w:val="000000" w:themeColor="text1"/>
          <w:sz w:val="28"/>
          <w:szCs w:val="28"/>
        </w:rPr>
        <w:t>Межпрофилактический</w:t>
      </w:r>
      <w:proofErr w:type="spellEnd"/>
      <w:r w:rsidRPr="00F70832">
        <w:rPr>
          <w:rFonts w:ascii="Times New Roman" w:hAnsi="Times New Roman"/>
          <w:color w:val="000000" w:themeColor="text1"/>
          <w:sz w:val="28"/>
          <w:szCs w:val="28"/>
        </w:rPr>
        <w:t xml:space="preserve">  период</w:t>
      </w:r>
      <w:proofErr w:type="gramEnd"/>
      <w:r w:rsidRPr="00F70832">
        <w:rPr>
          <w:rFonts w:ascii="Times New Roman" w:hAnsi="Times New Roman"/>
          <w:color w:val="000000" w:themeColor="text1"/>
          <w:sz w:val="28"/>
          <w:szCs w:val="28"/>
        </w:rPr>
        <w:t xml:space="preserve"> может быть  представлен коэффициентом  превентивных сервисных (ремонтных ) воздействий  </w:t>
      </w:r>
      <w:r w:rsidRPr="002917D5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K</w:t>
      </w:r>
      <w:proofErr w:type="spellStart"/>
      <w:r w:rsidRPr="002917D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пр</w:t>
      </w:r>
      <w:proofErr w:type="spellEnd"/>
      <w:r w:rsidRPr="00F70832">
        <w:rPr>
          <w:rFonts w:ascii="Times New Roman" w:hAnsi="Times New Roman"/>
          <w:color w:val="000000" w:themeColor="text1"/>
          <w:sz w:val="28"/>
          <w:szCs w:val="28"/>
        </w:rPr>
        <w:t xml:space="preserve"> посредством модели :</w:t>
      </w:r>
    </w:p>
    <w:p w:rsidR="00AA2685" w:rsidRPr="002917D5" w:rsidRDefault="00AA2685" w:rsidP="003B78B7">
      <w:pPr>
        <w:jc w:val="center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 w:rsidRPr="00AA2685"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K</w:t>
      </w:r>
      <w:r w:rsidR="003906A2" w:rsidRPr="00AA2685">
        <w:rPr>
          <w:rFonts w:ascii="Times New Roman" w:hAnsi="Times New Roman"/>
          <w:b/>
          <w:i/>
          <w:color w:val="000000" w:themeColor="text1"/>
          <w:sz w:val="28"/>
          <w:szCs w:val="28"/>
          <w:vertAlign w:val="subscript"/>
        </w:rPr>
        <w:t>пр.</w:t>
      </w:r>
      <w:r w:rsidRPr="00AA2685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 xml:space="preserve"> </w:t>
      </w:r>
      <w:r w:rsidRPr="00AA2685">
        <w:rPr>
          <w:rFonts w:ascii="Times New Roman" w:hAnsi="Times New Roman"/>
          <w:b/>
          <w:color w:val="000000" w:themeColor="text1"/>
          <w:sz w:val="28"/>
          <w:szCs w:val="28"/>
        </w:rPr>
        <w:t xml:space="preserve">= 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b/>
                <w:i/>
                <w:color w:val="000000" w:themeColor="text1"/>
                <w:sz w:val="28"/>
                <w:szCs w:val="28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j=1</m:t>
            </m:r>
          </m:sub>
          <m:sup>
            <m:sSub>
              <m:sSubPr>
                <m:ctrlPr>
                  <w:rPr>
                    <w:rFonts w:ascii="Cambria Math" w:hAnsi="Cambria Math"/>
                    <w:b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 xml:space="preserve">m   </m:t>
                </m:r>
              </m:sub>
            </m:sSub>
          </m:sup>
          <m:e>
            <m:f>
              <m:fPr>
                <m:ctrlPr>
                  <w:rPr>
                    <w:rFonts w:ascii="Cambria Math" w:hAnsi="Cambria Math"/>
                    <w:b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гj</m:t>
                    </m:r>
                  </m:sub>
                </m:sSub>
              </m:den>
            </m:f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 xml:space="preserve">  - (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m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-1)</m:t>
            </m:r>
          </m:e>
        </m:nary>
        <m:r>
          <m:rPr>
            <m:sty m:val="bi"/>
          </m:rPr>
          <w:rPr>
            <w:rFonts w:ascii="Cambria Math" w:hAnsi="Cambria Math"/>
            <w:color w:val="000000" w:themeColor="text1"/>
            <w:sz w:val="28"/>
            <w:szCs w:val="28"/>
          </w:rPr>
          <m:t>-1</m:t>
        </m:r>
      </m:oMath>
    </w:p>
    <w:p w:rsidR="00AA2685" w:rsidRPr="002917D5" w:rsidRDefault="00AA2685" w:rsidP="003B78B7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AA2685" w:rsidRPr="002917D5" w:rsidRDefault="00AA2685" w:rsidP="00F4578C">
      <w:pPr>
        <w:spacing w:before="100" w:beforeAutospacing="1" w:after="100" w:afterAutospacing="1"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2917D5">
        <w:rPr>
          <w:rFonts w:ascii="Times New Roman" w:eastAsiaTheme="minorEastAsia" w:hAnsi="Times New Roman"/>
          <w:color w:val="000000" w:themeColor="text1"/>
          <w:sz w:val="28"/>
          <w:szCs w:val="28"/>
        </w:rPr>
        <w:t>где</w:t>
      </w:r>
      <w:r w:rsidRPr="002917D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2917D5">
        <w:rPr>
          <w:rFonts w:ascii="Times New Roman" w:hAnsi="Times New Roman"/>
          <w:i/>
          <w:color w:val="000000" w:themeColor="text1"/>
          <w:sz w:val="28"/>
          <w:szCs w:val="28"/>
        </w:rPr>
        <w:t>К</w:t>
      </w:r>
      <w:r w:rsidRPr="00AA268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г</w:t>
      </w:r>
      <w:proofErr w:type="gramEnd"/>
      <w:r w:rsidRPr="00AA2685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>j</w:t>
      </w:r>
      <w:r w:rsidRPr="002917D5">
        <w:rPr>
          <w:rFonts w:ascii="Times New Roman" w:hAnsi="Times New Roman"/>
          <w:color w:val="000000" w:themeColor="text1"/>
          <w:sz w:val="28"/>
          <w:szCs w:val="28"/>
        </w:rPr>
        <w:t xml:space="preserve"> – коэффициент готовности </w:t>
      </w:r>
      <w:r w:rsidRPr="002917D5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j</w:t>
      </w:r>
      <w:r w:rsidRPr="002917D5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proofErr w:type="spellStart"/>
      <w:r w:rsidRPr="002917D5">
        <w:rPr>
          <w:rFonts w:ascii="Times New Roman" w:hAnsi="Times New Roman"/>
          <w:color w:val="000000" w:themeColor="text1"/>
          <w:sz w:val="28"/>
          <w:szCs w:val="28"/>
        </w:rPr>
        <w:t>го</w:t>
      </w:r>
      <w:proofErr w:type="spellEnd"/>
      <w:r w:rsidRPr="002917D5">
        <w:rPr>
          <w:rFonts w:ascii="Times New Roman" w:hAnsi="Times New Roman"/>
          <w:color w:val="000000" w:themeColor="text1"/>
          <w:sz w:val="28"/>
          <w:szCs w:val="28"/>
        </w:rPr>
        <w:t xml:space="preserve">  модуля экскаватора, </w:t>
      </w:r>
      <w:r w:rsidRPr="002917D5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n</w:t>
      </w:r>
      <w:r w:rsidRPr="002917D5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>m</w:t>
      </w:r>
      <w:r w:rsidRPr="002917D5">
        <w:rPr>
          <w:rFonts w:ascii="Times New Roman" w:hAnsi="Times New Roman"/>
          <w:color w:val="000000" w:themeColor="text1"/>
          <w:sz w:val="28"/>
          <w:szCs w:val="28"/>
        </w:rPr>
        <w:t xml:space="preserve"> -  количество значимых модулей экскаватора в целом .</w:t>
      </w:r>
    </w:p>
    <w:p w:rsidR="004F33D9" w:rsidRPr="004F33D9" w:rsidRDefault="00AA2685" w:rsidP="00F4578C">
      <w:pPr>
        <w:spacing w:before="100" w:beforeAutospacing="1" w:after="100" w:afterAutospacing="1"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AA2685"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Принципиальным решением при выборе компонентов системы гидропривода является подбор элементов системы с меньшей нормативной наработкой на отказ, сроки замены которых должны быть кратными по срокам замены элементам с большей наработкой на отказ.</w:t>
      </w:r>
    </w:p>
    <w:p w:rsidR="004F33D9" w:rsidRPr="004F33D9" w:rsidRDefault="00AA2685" w:rsidP="00F4578C">
      <w:pPr>
        <w:spacing w:before="100" w:beforeAutospacing="1" w:after="100" w:afterAutospacing="1"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При этом при выходе из строя такого ресурсоемкого элемента (то есть элемента, время замены и стоимость которого велика, например, гидронасоса или </w:t>
      </w:r>
      <w:proofErr w:type="spellStart"/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гидро</w:t>
      </w:r>
      <w:r w:rsidR="003B462C">
        <w:rPr>
          <w:rFonts w:ascii="Times New Roman" w:eastAsia="Times New Roman" w:hAnsi="Times New Roman"/>
          <w:color w:val="000000"/>
          <w:sz w:val="28"/>
          <w:szCs w:val="28"/>
        </w:rPr>
        <w:t>мотора</w:t>
      </w:r>
      <w:proofErr w:type="spellEnd"/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) производится замена всех связанных с ним в цепи элементов (рукавов высокого давления, фильтров и т. д.) с невыработанным ресурсом. При плановой замене модуля с большим ресурсом заменяются все связанные с ним элементы с меньшим ресурсным сроком.</w:t>
      </w:r>
    </w:p>
    <w:p w:rsidR="004F33D9" w:rsidRPr="004F33D9" w:rsidRDefault="00AA2685" w:rsidP="00F4578C">
      <w:pPr>
        <w:spacing w:before="100" w:beforeAutospacing="1" w:after="100" w:afterAutospacing="1"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Именно такой подход позволяет увеличить коэффициент Ки и, как следствие, увеличить эффективность применения гидравлических экскаваторов.</w:t>
      </w:r>
      <w:r w:rsidR="00F31EA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Этот подход тем более весом, что, как правило, наработка на отказ и время устранения отказов ресурсоемких элементов существенно выше.</w:t>
      </w:r>
    </w:p>
    <w:p w:rsidR="004F33D9" w:rsidRPr="004F33D9" w:rsidRDefault="00AA2685" w:rsidP="00F4578C">
      <w:pPr>
        <w:spacing w:before="100" w:beforeAutospacing="1" w:after="100" w:afterAutospacing="1"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ab/>
      </w:r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Зарубежный и отечественный опыт показывает, что при надлежащей эксплуатации производительность и коэффициент технической готовности не снижаются даже при длительной (более 10 лет) работе машин в сложных климатических условиях (рис. </w:t>
      </w:r>
      <w:r w:rsidR="005A734F"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). Так, например, на меднорудном карьере «</w:t>
      </w:r>
      <w:proofErr w:type="spellStart"/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Атик</w:t>
      </w:r>
      <w:proofErr w:type="spellEnd"/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» компании «</w:t>
      </w:r>
      <w:proofErr w:type="spellStart"/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Болиден</w:t>
      </w:r>
      <w:proofErr w:type="spellEnd"/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», расположенном в Северной Швеции, этот показатель при работе двух гидравлических экскаваторов Н-485 фирмы «</w:t>
      </w:r>
      <w:proofErr w:type="spellStart"/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Демаг</w:t>
      </w:r>
      <w:proofErr w:type="spellEnd"/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» (Германия) с ковшами 26 и 22 м</w:t>
      </w:r>
      <w:r w:rsidR="004F33D9" w:rsidRPr="004F33D9"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  <w:t>3</w:t>
      </w:r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 xml:space="preserve"> в течение 12 лет (53000 час) находится на уровне 0.87 и при работе в течение 10 лет (45000 час) – на уровне 0.89 соответственно.</w:t>
      </w:r>
    </w:p>
    <w:p w:rsidR="004F33D9" w:rsidRDefault="004F33D9" w:rsidP="003B78B7">
      <w:pPr>
        <w:spacing w:after="96"/>
        <w:jc w:val="center"/>
        <w:rPr>
          <w:rFonts w:ascii="Segoe UI" w:eastAsia="Times New Roman" w:hAnsi="Segoe UI" w:cs="Segoe UI"/>
          <w:color w:val="000000"/>
          <w:sz w:val="13"/>
          <w:szCs w:val="13"/>
        </w:rPr>
      </w:pPr>
      <w:r>
        <w:rPr>
          <w:rFonts w:ascii="Segoe UI" w:eastAsia="Times New Roman" w:hAnsi="Segoe UI" w:cs="Segoe UI"/>
          <w:noProof/>
          <w:color w:val="000000"/>
          <w:sz w:val="13"/>
          <w:szCs w:val="13"/>
        </w:rPr>
        <w:drawing>
          <wp:inline distT="0" distB="0" distL="0" distR="0" wp14:anchorId="72199047" wp14:editId="59C0F92A">
            <wp:extent cx="5162550" cy="1940168"/>
            <wp:effectExtent l="19050" t="0" r="0" b="0"/>
            <wp:docPr id="10" name="Рисунок 3" descr="http://www.mining-media.ru/files.php?f=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ng-media.ru/files.php?f=18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75" cy="19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85" w:rsidRPr="004F33D9" w:rsidRDefault="00AA2685" w:rsidP="003B78B7">
      <w:pPr>
        <w:spacing w:after="96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Рис.</w:t>
      </w:r>
      <w:r w:rsidR="005A734F">
        <w:rPr>
          <w:rFonts w:ascii="Times New Roman" w:eastAsia="Times New Roman" w:hAnsi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Показатели работы экскаватора 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H</w:t>
      </w:r>
      <w:r w:rsidRPr="00AA2685">
        <w:rPr>
          <w:rFonts w:ascii="Times New Roman" w:eastAsia="Times New Roman" w:hAnsi="Times New Roman"/>
          <w:color w:val="000000"/>
          <w:sz w:val="24"/>
          <w:szCs w:val="24"/>
        </w:rPr>
        <w:t>485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S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на карьере "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Атик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" в Северной Швеции</w:t>
      </w:r>
    </w:p>
    <w:p w:rsidR="00AA2685" w:rsidRDefault="00AA2685" w:rsidP="003B78B7">
      <w:pPr>
        <w:spacing w:after="96"/>
        <w:rPr>
          <w:rFonts w:ascii="Segoe UI" w:eastAsia="Times New Roman" w:hAnsi="Segoe UI" w:cs="Segoe UI"/>
          <w:color w:val="000000"/>
          <w:sz w:val="13"/>
          <w:szCs w:val="13"/>
        </w:rPr>
      </w:pPr>
    </w:p>
    <w:p w:rsidR="00EA225B" w:rsidRDefault="00F31EA9" w:rsidP="00F4578C">
      <w:pPr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="004F33D9" w:rsidRPr="004F33D9">
        <w:rPr>
          <w:rFonts w:ascii="Times New Roman" w:eastAsia="Times New Roman" w:hAnsi="Times New Roman"/>
          <w:color w:val="000000"/>
          <w:sz w:val="28"/>
          <w:szCs w:val="28"/>
        </w:rPr>
        <w:t>Эксплуатационные затраты при применении гидравлических экскаваторов динамично изменяются по годам эксплуатации. При этом даже наиболее дорогие средние ремонты не превышают двукратной величины средних затрат</w:t>
      </w:r>
      <w:r w:rsidR="00C66900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86683F" w:rsidRPr="00EA225B" w:rsidRDefault="00EA225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Средние эксплуатационные затраты на 1 м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 горной массы</w:t>
      </w:r>
      <w:r w:rsidR="00167B49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 объемной массой 2,5 т/м</w:t>
      </w:r>
      <w:r w:rsidR="00167B49" w:rsidRPr="00EA225B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составляют для гидравлического экскаватора с ковшом емкостью 15 м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 - 0.076 Евро, а с ковшом </w:t>
      </w:r>
      <w:r w:rsidR="00167B49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вмести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м</w:t>
      </w:r>
      <w:r w:rsidR="00167B49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о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стью  20 м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 - 0.079 Евро.</w:t>
      </w:r>
    </w:p>
    <w:p w:rsidR="0086683F" w:rsidRPr="00EA225B" w:rsidRDefault="00EA225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При нормальном качестве обслуживания средневзвешенные затраты на эксплуатацию экскаваторов с электромеханическим приводом и соответствующие показатели для гидравлических экскаваторов находятся на сопоставимом уровне. Однако, следует иметь в виду, что инфраструктура ремонтных цехов и численность ремонтного персонала, необходимых для обеспечения эксплуатации традиционных экскаваторов с электромеханиче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ским приводом (имеющих коэффициент К на уровне 0.8), требуется в 10 раз больше.</w:t>
      </w:r>
    </w:p>
    <w:p w:rsidR="0086683F" w:rsidRPr="00EA225B" w:rsidRDefault="00EA225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Так трудозатраты на текущий ремонт и обслуживание при эксплуатации карьерного гидравлического экскаватора с ковшом вместимостью 15-20 м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 составляют 15-25 чел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/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час на каждые 1000 час работы машин.</w:t>
      </w:r>
    </w:p>
    <w:p w:rsidR="0086683F" w:rsidRPr="00EA225B" w:rsidRDefault="00894CE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Трудозатраты на техническое обслуживание экскаваторов с электромеханическим приводом отечественного производства с ковшами вместитель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ностью 15 м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 для каждых 500-1000 часов работы составляют 250 чел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/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час, а каждые 1500 час работы требуют 1150 чел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/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час на обслуживание и ремонт.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Для машин с ковшом 20 м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это составляет для каждых 500-1000 час. 250 чел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/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час на обслуживание и 1200 чел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/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час обслуживания для каждых 1500 часов работы. Импортные экскаваторы с электромеханическим приводом должны обслуживаться каждые 500-1000 часов с затратами 570 чел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/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час, при необходимости затрат 720 чел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/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час на каждые 1500 часов работы машин.</w:t>
      </w:r>
    </w:p>
    <w:p w:rsidR="0086683F" w:rsidRPr="00EA225B" w:rsidRDefault="00894CE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Таким образом, количество привлекаемых специалистов при обслуживании традиционных экскаваторов</w:t>
      </w:r>
      <w:r w:rsidR="00167B49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механических лопат 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возрастает в 10-20 раз</w:t>
      </w:r>
      <w:r w:rsidR="00167B49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за равноценный срок службы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86683F" w:rsidRPr="00EA225B" w:rsidRDefault="00894CE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Если принять во внимание необходимость создания ремонтной базы с более мощными грузоподъемными средствами, крупных цехов с металлообрабатывающими станками, складского хозяйства и привлечение транспортных средств для доставки запасных частей в 5-8 раз более тяжелых по сравнению с гидр</w:t>
      </w:r>
      <w:r w:rsidR="0005401D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авлическими 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компонентами, то вывод получается совершенно определенный.</w:t>
      </w:r>
    </w:p>
    <w:p w:rsidR="00C66900" w:rsidRDefault="00894CEB" w:rsidP="00F4578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При нормальной организации сервиса предпочтение</w:t>
      </w:r>
      <w:r w:rsidR="008A6823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следует отдать 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гидравлическим экскаваторам, технологические возможности которых всегда заведомо выше</w:t>
      </w:r>
      <w:r w:rsidR="008A6823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со всех точек зрения по сравнению с традиционными экскаваторами, имеющими электромеханический привод.</w:t>
      </w:r>
      <w:r w:rsidR="00C6690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</w:p>
    <w:p w:rsidR="00C66900" w:rsidRPr="00B53B4D" w:rsidRDefault="00894CEB" w:rsidP="00F4578C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ab/>
      </w:r>
      <w:r w:rsidR="00C66900" w:rsidRPr="00B53B4D">
        <w:rPr>
          <w:rFonts w:ascii="Times New Roman" w:hAnsi="Times New Roman"/>
          <w:sz w:val="28"/>
          <w:szCs w:val="28"/>
        </w:rPr>
        <w:t xml:space="preserve">Доказательной основой для  успешной </w:t>
      </w:r>
      <w:r w:rsidR="00C66900">
        <w:rPr>
          <w:rFonts w:ascii="Times New Roman" w:hAnsi="Times New Roman"/>
          <w:sz w:val="28"/>
          <w:szCs w:val="28"/>
        </w:rPr>
        <w:t xml:space="preserve"> </w:t>
      </w:r>
      <w:r w:rsidR="00C66900" w:rsidRPr="00B53B4D">
        <w:rPr>
          <w:rFonts w:ascii="Times New Roman" w:hAnsi="Times New Roman"/>
          <w:sz w:val="28"/>
          <w:szCs w:val="28"/>
        </w:rPr>
        <w:t>конкурентоспособности гидравлических экскаваторов в сравнении с механическими лопатами  являются  основные показатели их применения  в условиях предприятий России.</w:t>
      </w:r>
    </w:p>
    <w:p w:rsidR="009808AF" w:rsidRPr="00C66900" w:rsidRDefault="009808AF" w:rsidP="00F4578C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Подтверждением являются достигнутые </w:t>
      </w:r>
      <w:r w:rsidR="00F47293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результаты</w:t>
      </w:r>
      <w:r w:rsidR="007915C9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F47293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при эксплуатации   на</w:t>
      </w:r>
      <w:r w:rsidR="0029291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«Черногорском </w:t>
      </w:r>
      <w:r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угольном разрезе</w:t>
      </w:r>
      <w:r w:rsidR="00292918">
        <w:rPr>
          <w:rFonts w:ascii="Times New Roman" w:eastAsia="Times New Roman" w:hAnsi="Times New Roman"/>
          <w:color w:val="000000" w:themeColor="text1"/>
          <w:sz w:val="28"/>
          <w:szCs w:val="28"/>
        </w:rPr>
        <w:t>»</w:t>
      </w:r>
      <w:r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292918">
        <w:rPr>
          <w:rFonts w:ascii="Times New Roman" w:eastAsia="Times New Roman" w:hAnsi="Times New Roman"/>
          <w:color w:val="000000" w:themeColor="text1"/>
          <w:sz w:val="28"/>
          <w:szCs w:val="28"/>
        </w:rPr>
        <w:t>ОАО «</w:t>
      </w:r>
      <w:r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СУЭК</w:t>
      </w:r>
      <w:r w:rsidR="004E193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Хакасия</w:t>
      </w:r>
      <w:r w:rsidR="00292918">
        <w:rPr>
          <w:rFonts w:ascii="Times New Roman" w:eastAsia="Times New Roman" w:hAnsi="Times New Roman"/>
          <w:color w:val="000000" w:themeColor="text1"/>
          <w:sz w:val="28"/>
          <w:szCs w:val="28"/>
        </w:rPr>
        <w:t>»</w:t>
      </w:r>
      <w:r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экскаваторов</w:t>
      </w:r>
      <w:r w:rsidR="0029291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РС-</w:t>
      </w:r>
      <w:r w:rsidR="00F47293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4</w:t>
      </w:r>
      <w:r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000</w:t>
      </w:r>
      <w:r w:rsidR="00F4578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</w:t>
      </w:r>
      <w:r w:rsidR="00F47293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одн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им </w:t>
      </w:r>
      <w:r w:rsidR="00F47293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из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экскаваторов РС-4000</w:t>
      </w:r>
      <w:r w:rsidR="002126F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Е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работающих с двухсторонней  погрузкой в автотранспорт  было погружено </w:t>
      </w:r>
      <w:r w:rsidR="00C66900" w:rsidRPr="00C66900">
        <w:rPr>
          <w:rFonts w:ascii="Times New Roman" w:eastAsia="Times New Roman" w:hAnsi="Times New Roman"/>
          <w:color w:val="000000" w:themeColor="text1"/>
          <w:sz w:val="28"/>
          <w:szCs w:val="28"/>
        </w:rPr>
        <w:t>902</w:t>
      </w:r>
      <w:r w:rsidR="002126F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8A3750">
        <w:rPr>
          <w:rFonts w:ascii="Times New Roman" w:eastAsia="Times New Roman" w:hAnsi="Times New Roman"/>
          <w:color w:val="000000" w:themeColor="text1"/>
          <w:sz w:val="28"/>
          <w:szCs w:val="28"/>
        </w:rPr>
        <w:t>0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00 м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 xml:space="preserve">3 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, а другим экскаватором</w:t>
      </w:r>
      <w:r w:rsidR="008A37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</w:t>
      </w:r>
      <w:r w:rsidR="008A3750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PC</w:t>
      </w:r>
      <w:r w:rsidR="008A3750" w:rsidRPr="008A37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3000  </w:t>
      </w:r>
      <w:r w:rsidR="008A3750">
        <w:rPr>
          <w:rFonts w:ascii="Times New Roman" w:eastAsia="Times New Roman" w:hAnsi="Times New Roman"/>
          <w:color w:val="000000" w:themeColor="text1"/>
          <w:sz w:val="28"/>
          <w:szCs w:val="28"/>
        </w:rPr>
        <w:t>на «</w:t>
      </w:r>
      <w:proofErr w:type="spellStart"/>
      <w:r w:rsidR="008A3750">
        <w:rPr>
          <w:rFonts w:ascii="Times New Roman" w:eastAsia="Times New Roman" w:hAnsi="Times New Roman"/>
          <w:color w:val="000000" w:themeColor="text1"/>
          <w:sz w:val="28"/>
          <w:szCs w:val="28"/>
        </w:rPr>
        <w:t>Восточно</w:t>
      </w:r>
      <w:proofErr w:type="spellEnd"/>
      <w:r w:rsidR="008A37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A3750">
        <w:rPr>
          <w:rFonts w:ascii="Times New Roman" w:eastAsia="Times New Roman" w:hAnsi="Times New Roman"/>
          <w:color w:val="000000" w:themeColor="text1"/>
          <w:sz w:val="28"/>
          <w:szCs w:val="28"/>
        </w:rPr>
        <w:t>Бейском</w:t>
      </w:r>
      <w:proofErr w:type="spellEnd"/>
      <w:r w:rsidR="008A37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Разрезе»</w:t>
      </w:r>
      <w:r w:rsidR="004E193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 электрическим приводом главных насосов </w:t>
      </w:r>
      <w:r w:rsidR="007915C9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- </w:t>
      </w:r>
      <w:r w:rsidR="008A3750">
        <w:rPr>
          <w:rFonts w:ascii="Times New Roman" w:eastAsia="Times New Roman" w:hAnsi="Times New Roman"/>
          <w:color w:val="000000" w:themeColor="text1"/>
          <w:sz w:val="28"/>
          <w:szCs w:val="28"/>
        </w:rPr>
        <w:t>75</w:t>
      </w:r>
      <w:r w:rsidR="00C66900" w:rsidRPr="00C66900">
        <w:rPr>
          <w:rFonts w:ascii="Times New Roman" w:eastAsia="Times New Roman" w:hAnsi="Times New Roman"/>
          <w:color w:val="000000" w:themeColor="text1"/>
          <w:sz w:val="28"/>
          <w:szCs w:val="28"/>
        </w:rPr>
        <w:t>1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 </w:t>
      </w:r>
      <w:r w:rsidR="008A3750">
        <w:rPr>
          <w:rFonts w:ascii="Times New Roman" w:eastAsia="Times New Roman" w:hAnsi="Times New Roman"/>
          <w:color w:val="000000" w:themeColor="text1"/>
          <w:sz w:val="28"/>
          <w:szCs w:val="28"/>
        </w:rPr>
        <w:t>0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00 м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</w:t>
      </w:r>
      <w:r w:rsidR="008A37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Оба 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показател</w:t>
      </w:r>
      <w:r w:rsidR="008A3750">
        <w:rPr>
          <w:rFonts w:ascii="Times New Roman" w:eastAsia="Times New Roman" w:hAnsi="Times New Roman"/>
          <w:color w:val="000000" w:themeColor="text1"/>
          <w:sz w:val="28"/>
          <w:szCs w:val="28"/>
        </w:rPr>
        <w:t>я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является мировым</w:t>
      </w:r>
      <w:r w:rsidR="00C66900">
        <w:rPr>
          <w:rFonts w:ascii="Times New Roman" w:eastAsia="Times New Roman" w:hAnsi="Times New Roman"/>
          <w:color w:val="000000" w:themeColor="text1"/>
          <w:sz w:val="28"/>
          <w:szCs w:val="28"/>
        </w:rPr>
        <w:t>и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рекорд</w:t>
      </w:r>
      <w:r w:rsidR="00C66900">
        <w:rPr>
          <w:rFonts w:ascii="Times New Roman" w:eastAsia="Times New Roman" w:hAnsi="Times New Roman"/>
          <w:color w:val="000000" w:themeColor="text1"/>
          <w:sz w:val="28"/>
          <w:szCs w:val="28"/>
        </w:rPr>
        <w:t>а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м</w:t>
      </w:r>
      <w:r w:rsidR="00C66900">
        <w:rPr>
          <w:rFonts w:ascii="Times New Roman" w:eastAsia="Times New Roman" w:hAnsi="Times New Roman"/>
          <w:color w:val="000000" w:themeColor="text1"/>
          <w:sz w:val="28"/>
          <w:szCs w:val="28"/>
        </w:rPr>
        <w:t>и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достигнутым в этом классе машин. </w:t>
      </w:r>
      <w:r w:rsidR="00F47293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</w:p>
    <w:p w:rsidR="00C66900" w:rsidRDefault="005A734F" w:rsidP="00F4578C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</w:p>
    <w:p w:rsidR="00BB3A24" w:rsidRPr="002917D5" w:rsidRDefault="00292918" w:rsidP="00F4578C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Таким образом, д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ля </w:t>
      </w:r>
      <w:r w:rsidR="008A6823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механических лопат 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остается</w:t>
      </w:r>
      <w:r w:rsidR="002917D5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на открытых разработках 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ниша с ковшами вместимостью более 4</w:t>
      </w:r>
      <w:r w:rsidR="008A6823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>5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м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5A734F"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  <w:r w:rsidR="008A6823" w:rsidRPr="00EA225B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 xml:space="preserve">  ,</w:t>
      </w:r>
      <w:r w:rsidR="0086683F" w:rsidRPr="00EA225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 которые в настоящий период являются предельными для известных моделей карьерных гидравлических экскаваторов. </w:t>
      </w:r>
      <w:r w:rsidR="00BB3A24" w:rsidRPr="002917D5">
        <w:rPr>
          <w:rFonts w:ascii="Times New Roman" w:eastAsia="Times New Roman" w:hAnsi="Times New Roman"/>
          <w:color w:val="000000" w:themeColor="text1"/>
          <w:sz w:val="28"/>
          <w:szCs w:val="28"/>
        </w:rPr>
        <w:t> </w:t>
      </w:r>
    </w:p>
    <w:p w:rsidR="00907459" w:rsidRDefault="00907459" w:rsidP="003B78B7">
      <w:pPr>
        <w:rPr>
          <w:color w:val="000000" w:themeColor="text1"/>
          <w:sz w:val="24"/>
          <w:szCs w:val="24"/>
        </w:rPr>
      </w:pPr>
    </w:p>
    <w:p w:rsidR="00D42BB5" w:rsidRDefault="00D42BB5" w:rsidP="003B78B7">
      <w:pPr>
        <w:rPr>
          <w:color w:val="000000" w:themeColor="text1"/>
          <w:sz w:val="24"/>
          <w:szCs w:val="24"/>
        </w:rPr>
      </w:pPr>
    </w:p>
    <w:p w:rsidR="00D42BB5" w:rsidRPr="0010284B" w:rsidRDefault="00D42BB5" w:rsidP="00D42B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0284B">
        <w:rPr>
          <w:rFonts w:ascii="Times New Roman" w:hAnsi="Times New Roman"/>
          <w:b/>
          <w:sz w:val="28"/>
          <w:szCs w:val="28"/>
        </w:rPr>
        <w:t>Литература</w:t>
      </w:r>
    </w:p>
    <w:p w:rsidR="00D42BB5" w:rsidRPr="000E4BA9" w:rsidRDefault="00D42BB5" w:rsidP="00D42BB5">
      <w:pPr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0E4BA9">
        <w:rPr>
          <w:rFonts w:ascii="Times New Roman" w:hAnsi="Times New Roman"/>
          <w:sz w:val="28"/>
          <w:szCs w:val="28"/>
        </w:rPr>
        <w:t xml:space="preserve">.  </w:t>
      </w:r>
      <w:proofErr w:type="spellStart"/>
      <w:r w:rsidRPr="000E4BA9">
        <w:rPr>
          <w:rFonts w:ascii="Times New Roman" w:hAnsi="Times New Roman"/>
          <w:sz w:val="28"/>
          <w:szCs w:val="28"/>
        </w:rPr>
        <w:t>Булес</w:t>
      </w:r>
      <w:proofErr w:type="spellEnd"/>
      <w:r w:rsidRPr="000E4BA9">
        <w:rPr>
          <w:rFonts w:ascii="Times New Roman" w:hAnsi="Times New Roman"/>
          <w:sz w:val="28"/>
          <w:szCs w:val="28"/>
        </w:rPr>
        <w:t xml:space="preserve"> П</w:t>
      </w:r>
      <w:r w:rsidRPr="000E4BA9">
        <w:rPr>
          <w:rFonts w:ascii="Times New Roman" w:hAnsi="Times New Roman"/>
          <w:i/>
          <w:sz w:val="28"/>
          <w:szCs w:val="28"/>
        </w:rPr>
        <w:t xml:space="preserve">. </w:t>
      </w:r>
      <w:r w:rsidRPr="000E4BA9">
        <w:rPr>
          <w:rFonts w:ascii="Times New Roman" w:hAnsi="Times New Roman"/>
          <w:sz w:val="28"/>
          <w:szCs w:val="28"/>
        </w:rPr>
        <w:t xml:space="preserve">К вопросу о надежности мощных гидравлических экскаваторов </w:t>
      </w:r>
      <w:proofErr w:type="spellStart"/>
      <w:r w:rsidRPr="000E4BA9">
        <w:rPr>
          <w:rFonts w:ascii="Times New Roman" w:hAnsi="Times New Roman"/>
          <w:sz w:val="28"/>
          <w:szCs w:val="28"/>
        </w:rPr>
        <w:t>Komatsu</w:t>
      </w:r>
      <w:proofErr w:type="spellEnd"/>
      <w:r w:rsidRPr="000E4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E4BA9">
        <w:rPr>
          <w:rFonts w:ascii="Times New Roman" w:hAnsi="Times New Roman"/>
          <w:sz w:val="28"/>
          <w:szCs w:val="28"/>
        </w:rPr>
        <w:t>Mining</w:t>
      </w:r>
      <w:proofErr w:type="spellEnd"/>
      <w:r w:rsidRPr="000E4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E4BA9">
        <w:rPr>
          <w:rFonts w:ascii="Times New Roman" w:hAnsi="Times New Roman"/>
          <w:sz w:val="28"/>
          <w:szCs w:val="28"/>
        </w:rPr>
        <w:t>Germany</w:t>
      </w:r>
      <w:proofErr w:type="spellEnd"/>
      <w:r w:rsidRPr="000E4BA9">
        <w:rPr>
          <w:rFonts w:ascii="Times New Roman" w:hAnsi="Times New Roman"/>
          <w:sz w:val="28"/>
          <w:szCs w:val="28"/>
        </w:rPr>
        <w:t xml:space="preserve"> в экстремальных условиях эксплуатации // </w:t>
      </w:r>
      <w:r>
        <w:rPr>
          <w:rFonts w:ascii="Times New Roman" w:hAnsi="Times New Roman"/>
          <w:sz w:val="28"/>
          <w:szCs w:val="28"/>
        </w:rPr>
        <w:t>Маркшейдерский вестник,</w:t>
      </w:r>
      <w:r w:rsidRPr="000E4BA9">
        <w:rPr>
          <w:rFonts w:ascii="Times New Roman" w:hAnsi="Times New Roman"/>
          <w:sz w:val="28"/>
          <w:szCs w:val="28"/>
        </w:rPr>
        <w:t xml:space="preserve"> № 6 2013 – с. 20-23 . </w:t>
      </w:r>
    </w:p>
    <w:p w:rsidR="00D42BB5" w:rsidRPr="00317DE1" w:rsidRDefault="00D42BB5" w:rsidP="00D42BB5">
      <w:pPr>
        <w:pStyle w:val="a8"/>
        <w:spacing w:line="360" w:lineRule="auto"/>
        <w:ind w:left="720" w:hanging="36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2</w:t>
      </w:r>
      <w:r w:rsidRPr="00317DE1">
        <w:rPr>
          <w:b w:val="0"/>
          <w:color w:val="000000"/>
          <w:sz w:val="28"/>
          <w:szCs w:val="28"/>
        </w:rPr>
        <w:t xml:space="preserve">. </w:t>
      </w:r>
      <w:r w:rsidRPr="00317DE1">
        <w:rPr>
          <w:b w:val="0"/>
          <w:color w:val="000000"/>
          <w:sz w:val="28"/>
          <w:szCs w:val="28"/>
        </w:rPr>
        <w:tab/>
        <w:t xml:space="preserve"> </w:t>
      </w:r>
      <w:proofErr w:type="spellStart"/>
      <w:r w:rsidRPr="00317DE1">
        <w:rPr>
          <w:b w:val="0"/>
          <w:color w:val="000000"/>
          <w:sz w:val="28"/>
          <w:szCs w:val="28"/>
        </w:rPr>
        <w:t>Подэрни</w:t>
      </w:r>
      <w:proofErr w:type="spellEnd"/>
      <w:r w:rsidRPr="00317DE1">
        <w:rPr>
          <w:b w:val="0"/>
          <w:color w:val="000000"/>
          <w:sz w:val="28"/>
          <w:szCs w:val="28"/>
        </w:rPr>
        <w:t xml:space="preserve"> Р.Ю.</w:t>
      </w:r>
      <w:r w:rsidRPr="00317DE1">
        <w:rPr>
          <w:b w:val="0"/>
          <w:sz w:val="28"/>
          <w:szCs w:val="28"/>
        </w:rPr>
        <w:t xml:space="preserve"> Анализ современного состояния мирового рынка поставок выемочно-погрузочного карьерного оборудования (карьерные лопаты и драглайны)  //Горная промышленность. 2013, №  6. С. 14-18 и 106-111.</w:t>
      </w:r>
    </w:p>
    <w:p w:rsidR="00D42BB5" w:rsidRPr="002A316A" w:rsidRDefault="00D42BB5" w:rsidP="00D42BB5">
      <w:pPr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3</w:t>
      </w:r>
      <w:r w:rsidRPr="000E4BA9">
        <w:rPr>
          <w:rFonts w:ascii="Times New Roman" w:hAnsi="Times New Roman"/>
          <w:sz w:val="28"/>
          <w:szCs w:val="28"/>
        </w:rPr>
        <w:t xml:space="preserve">. </w:t>
      </w:r>
      <w:r w:rsidRPr="000E4BA9">
        <w:rPr>
          <w:rFonts w:ascii="Times New Roman" w:hAnsi="Times New Roman"/>
          <w:sz w:val="28"/>
          <w:szCs w:val="28"/>
        </w:rPr>
        <w:tab/>
        <w:t xml:space="preserve"> </w:t>
      </w:r>
      <w:proofErr w:type="spellStart"/>
      <w:r w:rsidRPr="000E4BA9">
        <w:rPr>
          <w:rFonts w:ascii="Times New Roman" w:hAnsi="Times New Roman"/>
          <w:sz w:val="28"/>
          <w:szCs w:val="28"/>
        </w:rPr>
        <w:t>Подэрни</w:t>
      </w:r>
      <w:proofErr w:type="spellEnd"/>
      <w:r w:rsidRPr="000E4BA9">
        <w:rPr>
          <w:rFonts w:ascii="Times New Roman" w:hAnsi="Times New Roman"/>
          <w:sz w:val="28"/>
          <w:szCs w:val="28"/>
        </w:rPr>
        <w:t xml:space="preserve"> Р.Ю. Анализ современного состояния мирового рынка поставок выемочно-погрузочного карьерного оборудования (колесных фронтальных погрузчиков и гидравлических экскаваторов) //Горная промышленность. </w:t>
      </w:r>
      <w:r w:rsidRPr="002A316A">
        <w:rPr>
          <w:rFonts w:ascii="Times New Roman" w:hAnsi="Times New Roman"/>
          <w:sz w:val="28"/>
          <w:szCs w:val="28"/>
          <w:lang w:val="en-US"/>
        </w:rPr>
        <w:t xml:space="preserve">2014, №  1. </w:t>
      </w:r>
      <w:r w:rsidRPr="000E4BA9">
        <w:rPr>
          <w:rFonts w:ascii="Times New Roman" w:hAnsi="Times New Roman"/>
          <w:sz w:val="28"/>
          <w:szCs w:val="28"/>
        </w:rPr>
        <w:t>С</w:t>
      </w:r>
      <w:r w:rsidRPr="002A316A">
        <w:rPr>
          <w:rFonts w:ascii="Times New Roman" w:hAnsi="Times New Roman"/>
          <w:sz w:val="28"/>
          <w:szCs w:val="28"/>
          <w:lang w:val="en-US"/>
        </w:rPr>
        <w:t xml:space="preserve">. 22-32. </w:t>
      </w:r>
    </w:p>
    <w:p w:rsidR="00D42BB5" w:rsidRPr="002917D5" w:rsidRDefault="00D42BB5" w:rsidP="003B78B7">
      <w:pPr>
        <w:rPr>
          <w:color w:val="000000" w:themeColor="text1"/>
          <w:sz w:val="24"/>
          <w:szCs w:val="24"/>
        </w:rPr>
      </w:pPr>
    </w:p>
    <w:sectPr w:rsidR="00D42BB5" w:rsidRPr="002917D5" w:rsidSect="007A3ABC">
      <w:footerReference w:type="default" r:id="rId11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521" w:rsidRDefault="005B3521" w:rsidP="005A734F">
      <w:r>
        <w:separator/>
      </w:r>
    </w:p>
  </w:endnote>
  <w:endnote w:type="continuationSeparator" w:id="0">
    <w:p w:rsidR="005B3521" w:rsidRDefault="005B3521" w:rsidP="005A7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92596"/>
      <w:docPartObj>
        <w:docPartGallery w:val="Page Numbers (Bottom of Page)"/>
        <w:docPartUnique/>
      </w:docPartObj>
    </w:sdtPr>
    <w:sdtEndPr/>
    <w:sdtContent>
      <w:p w:rsidR="005A734F" w:rsidRDefault="00901FA6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63A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5A734F" w:rsidRDefault="005A734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521" w:rsidRDefault="005B3521" w:rsidP="005A734F">
      <w:r>
        <w:separator/>
      </w:r>
    </w:p>
  </w:footnote>
  <w:footnote w:type="continuationSeparator" w:id="0">
    <w:p w:rsidR="005B3521" w:rsidRDefault="005B3521" w:rsidP="005A7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55B52"/>
    <w:multiLevelType w:val="multilevel"/>
    <w:tmpl w:val="32B48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070B14"/>
    <w:multiLevelType w:val="multilevel"/>
    <w:tmpl w:val="55AC3AA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7961F4"/>
    <w:multiLevelType w:val="multilevel"/>
    <w:tmpl w:val="568CAC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494654"/>
    <w:multiLevelType w:val="multilevel"/>
    <w:tmpl w:val="A5A66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003F68"/>
    <w:multiLevelType w:val="multilevel"/>
    <w:tmpl w:val="66928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A40150"/>
    <w:multiLevelType w:val="hybridMultilevel"/>
    <w:tmpl w:val="ED323D28"/>
    <w:lvl w:ilvl="0" w:tplc="8190F00C">
      <w:start w:val="1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32"/>
    <w:rsid w:val="00043384"/>
    <w:rsid w:val="00053BE0"/>
    <w:rsid w:val="0005401D"/>
    <w:rsid w:val="0007110E"/>
    <w:rsid w:val="00085A7F"/>
    <w:rsid w:val="000A33AA"/>
    <w:rsid w:val="000B3227"/>
    <w:rsid w:val="000F18EC"/>
    <w:rsid w:val="000F49D7"/>
    <w:rsid w:val="000F6913"/>
    <w:rsid w:val="00125E50"/>
    <w:rsid w:val="00145144"/>
    <w:rsid w:val="00167B49"/>
    <w:rsid w:val="001B3FDE"/>
    <w:rsid w:val="001D632D"/>
    <w:rsid w:val="001F50A9"/>
    <w:rsid w:val="002126F6"/>
    <w:rsid w:val="002232B2"/>
    <w:rsid w:val="00235910"/>
    <w:rsid w:val="00284D96"/>
    <w:rsid w:val="002917D5"/>
    <w:rsid w:val="00292918"/>
    <w:rsid w:val="002A5F52"/>
    <w:rsid w:val="003879F4"/>
    <w:rsid w:val="003906A2"/>
    <w:rsid w:val="00391850"/>
    <w:rsid w:val="003B462C"/>
    <w:rsid w:val="003B78B7"/>
    <w:rsid w:val="004663AE"/>
    <w:rsid w:val="0047577B"/>
    <w:rsid w:val="004E1937"/>
    <w:rsid w:val="004F33D9"/>
    <w:rsid w:val="00571325"/>
    <w:rsid w:val="005A734F"/>
    <w:rsid w:val="005B3521"/>
    <w:rsid w:val="00635006"/>
    <w:rsid w:val="00655BB2"/>
    <w:rsid w:val="00750DD6"/>
    <w:rsid w:val="007915C9"/>
    <w:rsid w:val="007A0162"/>
    <w:rsid w:val="007A3ABC"/>
    <w:rsid w:val="00824E57"/>
    <w:rsid w:val="00825530"/>
    <w:rsid w:val="00835E9C"/>
    <w:rsid w:val="008459FA"/>
    <w:rsid w:val="00865553"/>
    <w:rsid w:val="0086683F"/>
    <w:rsid w:val="00872C6B"/>
    <w:rsid w:val="00894CEB"/>
    <w:rsid w:val="008A3750"/>
    <w:rsid w:val="008A6823"/>
    <w:rsid w:val="008B1A44"/>
    <w:rsid w:val="008F4FDD"/>
    <w:rsid w:val="00901FA6"/>
    <w:rsid w:val="00907459"/>
    <w:rsid w:val="0096784D"/>
    <w:rsid w:val="009808AF"/>
    <w:rsid w:val="009C3C9A"/>
    <w:rsid w:val="009E516B"/>
    <w:rsid w:val="009F0814"/>
    <w:rsid w:val="00A73483"/>
    <w:rsid w:val="00AA2685"/>
    <w:rsid w:val="00AE590F"/>
    <w:rsid w:val="00B2355D"/>
    <w:rsid w:val="00B24512"/>
    <w:rsid w:val="00BB3A24"/>
    <w:rsid w:val="00BC29E1"/>
    <w:rsid w:val="00C66900"/>
    <w:rsid w:val="00C86505"/>
    <w:rsid w:val="00CC5947"/>
    <w:rsid w:val="00CD091F"/>
    <w:rsid w:val="00D16E68"/>
    <w:rsid w:val="00D42BB5"/>
    <w:rsid w:val="00DA1257"/>
    <w:rsid w:val="00DA55FC"/>
    <w:rsid w:val="00E11DA0"/>
    <w:rsid w:val="00E12F2C"/>
    <w:rsid w:val="00E4081A"/>
    <w:rsid w:val="00EA225B"/>
    <w:rsid w:val="00EC34C5"/>
    <w:rsid w:val="00EF3FC9"/>
    <w:rsid w:val="00F171B8"/>
    <w:rsid w:val="00F31EA9"/>
    <w:rsid w:val="00F4578C"/>
    <w:rsid w:val="00F47293"/>
    <w:rsid w:val="00F67332"/>
    <w:rsid w:val="00F70832"/>
    <w:rsid w:val="00F72DE7"/>
    <w:rsid w:val="00F80DBE"/>
    <w:rsid w:val="00FA31B8"/>
    <w:rsid w:val="00FC7C17"/>
    <w:rsid w:val="00FE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B5CD84-CBF0-4441-B073-B2775CF95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332"/>
    <w:pPr>
      <w:spacing w:after="0" w:line="240" w:lineRule="auto"/>
    </w:pPr>
    <w:rPr>
      <w:rFonts w:ascii="Calibri" w:hAnsi="Calibri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4F33D9"/>
    <w:pPr>
      <w:spacing w:before="100" w:beforeAutospacing="1" w:after="100" w:afterAutospacing="1"/>
      <w:outlineLvl w:val="2"/>
    </w:pPr>
    <w:rPr>
      <w:rFonts w:ascii="Segoe UI" w:eastAsia="Times New Roman" w:hAnsi="Segoe UI" w:cs="Segoe UI"/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8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83F"/>
    <w:rPr>
      <w:rFonts w:ascii="Tahoma" w:hAnsi="Tahoma" w:cs="Tahoma"/>
      <w:sz w:val="16"/>
      <w:szCs w:val="16"/>
      <w:lang w:eastAsia="ru-RU"/>
    </w:rPr>
  </w:style>
  <w:style w:type="character" w:styleId="a5">
    <w:name w:val="Placeholder Text"/>
    <w:basedOn w:val="a0"/>
    <w:uiPriority w:val="99"/>
    <w:semiHidden/>
    <w:rsid w:val="00145144"/>
    <w:rPr>
      <w:color w:val="808080"/>
    </w:rPr>
  </w:style>
  <w:style w:type="paragraph" w:styleId="a6">
    <w:name w:val="Normal (Web)"/>
    <w:basedOn w:val="a"/>
    <w:uiPriority w:val="99"/>
    <w:semiHidden/>
    <w:unhideWhenUsed/>
    <w:rsid w:val="00145144"/>
    <w:pPr>
      <w:spacing w:before="96" w:after="96"/>
    </w:pPr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F33D9"/>
    <w:rPr>
      <w:rFonts w:ascii="Segoe UI" w:eastAsia="Times New Roman" w:hAnsi="Segoe UI" w:cs="Segoe UI"/>
      <w:b/>
      <w:bCs/>
      <w:sz w:val="29"/>
      <w:szCs w:val="29"/>
      <w:lang w:eastAsia="ru-RU"/>
    </w:rPr>
  </w:style>
  <w:style w:type="table" w:styleId="a7">
    <w:name w:val="Table Grid"/>
    <w:basedOn w:val="a1"/>
    <w:uiPriority w:val="59"/>
    <w:rsid w:val="00F31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AE590F"/>
    <w:pPr>
      <w:jc w:val="center"/>
    </w:pPr>
    <w:rPr>
      <w:rFonts w:ascii="Times New Roman" w:eastAsia="Times New Roman" w:hAnsi="Times New Roman"/>
      <w:b/>
      <w:bCs/>
      <w:sz w:val="32"/>
      <w:szCs w:val="24"/>
      <w:u w:val="single"/>
    </w:rPr>
  </w:style>
  <w:style w:type="character" w:customStyle="1" w:styleId="a9">
    <w:name w:val="Основной текст Знак"/>
    <w:basedOn w:val="a0"/>
    <w:link w:val="a8"/>
    <w:rsid w:val="00AE590F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5A734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A734F"/>
    <w:rPr>
      <w:rFonts w:ascii="Calibri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A734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A734F"/>
    <w:rPr>
      <w:rFonts w:ascii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1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40851">
              <w:marLeft w:val="144"/>
              <w:marRight w:val="14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2860">
                  <w:marLeft w:val="0"/>
                  <w:marRight w:val="0"/>
                  <w:marTop w:val="2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6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2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0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7556">
              <w:marLeft w:val="144"/>
              <w:marRight w:val="14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30027">
                  <w:marLeft w:val="0"/>
                  <w:marRight w:val="0"/>
                  <w:marTop w:val="2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7D8D6-716C-488F-A156-5400B0E7D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2411</Words>
  <Characters>13749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Дмитрий</cp:lastModifiedBy>
  <cp:revision>3</cp:revision>
  <dcterms:created xsi:type="dcterms:W3CDTF">2021-09-09T15:53:00Z</dcterms:created>
  <dcterms:modified xsi:type="dcterms:W3CDTF">2021-09-10T20:31:00Z</dcterms:modified>
</cp:coreProperties>
</file>